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A78D6"/>
          <w:sz w:val="44"/>
        </w:rPr>
        <w:t>Executive Summary</w:t>
      </w:r>
    </w:p>
    <w:p>
      <w:r>
        <w:rPr>
          <w:color w:val="555555"/>
          <w:sz w:val="22"/>
        </w:rPr>
        <w:t>Healthcare analytics findings and recommendations for HealthConnect Rwanda leadership</w:t>
      </w:r>
    </w:p>
    <w:p>
      <w:r>
        <w:rPr>
          <w:i/>
          <w:sz w:val="18"/>
        </w:rPr>
        <w:t>HealthConnect Rwanda · AnalystLab Africa Experience Lab, Week 6 · Track 2: Healthcare Predictive Analytics and Population Health Intelligence</w:t>
      </w:r>
    </w:p>
    <w:p>
      <w:pPr>
        <w:pStyle w:val="Heading1"/>
      </w:pPr>
      <w:r>
        <w:t>Purpose and scope</w:t>
      </w:r>
    </w:p>
    <w:p>
      <w:pPr>
        <w:spacing w:after="120"/>
      </w:pPr>
      <w:r>
        <w:rPr>
          <w:b w:val="0"/>
          <w:i w:val="0"/>
        </w:rPr>
        <w:t>HealthConnect Rwanda asked whether its operational data can support predictive analytics and population health intelligence. We integrated 31 tables covering 20,000 patients, 5,000 appointment encounters and 60,000 bills across 20 facilities, ran 108 data-quality checks, built 36 visualisations, ran 15 hypothesis tests and fitted forecasting, classification, regression, clustering and PCA models. All models were benchmarked against naive baselines and permutation tests so that only real signal is reported.</w:t>
      </w:r>
    </w:p>
    <w:p>
      <w:pPr>
        <w:pStyle w:val="Heading1"/>
      </w:pPr>
      <w:r>
        <w:t>Key findings</w:t>
      </w:r>
    </w:p>
    <w:p>
      <w:pPr>
        <w:pStyle w:val="ListBullet"/>
        <w:spacing w:after="40"/>
      </w:pPr>
      <w:r>
        <w:rPr>
          <w:b/>
        </w:rPr>
        <w:t xml:space="preserve">Data foundation is the biggest constraint. </w:t>
      </w:r>
      <w:r>
        <w:t>Only 5,000 of 60,000 billed visits have an appointment record, 95% of appointments point to a department or doctor from another facility, and bill 'Status' does not reflect payment. Revenue_Summary (1.13 bn RWF) does not reconcile with billing (9.31 bn RWF).</w:t>
      </w:r>
    </w:p>
    <w:p>
      <w:pPr>
        <w:pStyle w:val="ListBullet"/>
        <w:spacing w:after="40"/>
      </w:pPr>
      <w:r>
        <w:rPr>
          <w:b/>
        </w:rPr>
        <w:t xml:space="preserve">The population is large, chronic and evenly spread. </w:t>
      </w:r>
      <w:r>
        <w:t>Mean age 45; 75% have a chronic condition and 33% (6,662 patients) meet the clinical high-risk rule, yet only 1,498 of them had an appointment in 2026. Patients, diagnoses and severity are close to uniform across provinces.</w:t>
      </w:r>
    </w:p>
    <w:p>
      <w:pPr>
        <w:pStyle w:val="ListBullet"/>
        <w:spacing w:after="40"/>
      </w:pPr>
      <w:r>
        <w:rPr>
          <w:b/>
        </w:rPr>
        <w:t xml:space="preserve">Money is being left uncollected. </w:t>
      </w:r>
      <w:r>
        <w:t>0.92 bn RWF (0.1%) of billed amounts is unpaid, 21,028 insurance claims worth 2.44 bn RWF are pending, and only 50% of claims are approved, with no difference between the four insurers.</w:t>
      </w:r>
    </w:p>
    <w:p>
      <w:pPr>
        <w:pStyle w:val="ListBullet"/>
        <w:spacing w:after="40"/>
      </w:pPr>
      <w:r>
        <w:rPr>
          <w:b/>
        </w:rPr>
        <w:t xml:space="preserve">Demand is stable but forecastable only as an average. </w:t>
      </w:r>
      <w:r>
        <w:t>About 4,975 visits/month (≈59,700 in 2027, typical error ±14%) and ≈1.10 bn RWF revenue (error ±26%). No trend is detectable in 12 months.</w:t>
      </w:r>
    </w:p>
    <w:p>
      <w:pPr>
        <w:pStyle w:val="ListBullet"/>
        <w:spacing w:after="40"/>
      </w:pPr>
      <w:r>
        <w:rPr>
          <w:b/>
        </w:rPr>
        <w:t xml:space="preserve">Admissions and satisfaction cannot be predicted from current data. </w:t>
      </w:r>
      <w:r>
        <w:t>Best admission model AUC 0.51 (chance is 0.50; permutation p = 0.32); satisfaction R² ≈ 0. None of 15 hypothesis tests rejected its null hypothesis. This is a finding about the data, not a modelling failure.</w:t>
      </w:r>
    </w:p>
    <w:p>
      <w:pPr>
        <w:pStyle w:val="ListBullet"/>
        <w:spacing w:after="40"/>
      </w:pPr>
      <w:r>
        <w:rPr>
          <w:b/>
        </w:rPr>
        <w:t xml:space="preserve">Staffing does not follow volume. </w:t>
      </w:r>
      <w:r>
        <w:t>Facility volumes differ by 28% (217–278 appointments) while headcount is 61–64 everywhere; staff numbers do not track patient numbers.</w:t>
      </w:r>
    </w:p>
    <w:p>
      <w:pPr>
        <w:pStyle w:val="ListBullet"/>
        <w:spacing w:after="40"/>
      </w:pPr>
      <w:r>
        <w:rPr>
          <w:b/>
        </w:rPr>
        <w:t xml:space="preserve">Patient experience needs a better instrument. </w:t>
      </w:r>
      <w:r>
        <w:t>Mean rating 2.99/5; 40% rate 1–2; ratings are unrelated to comments, diagnosis, billing, department or facility. With ≈89 ratings per site, facility rankings are not reliable.</w:t>
      </w:r>
    </w:p>
    <w:p>
      <w:pPr>
        <w:pStyle w:val="Heading1"/>
      </w:pPr>
      <w:r>
        <w:t>Business recommendations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74"/>
            <w:shd w:val="clear" w:color="auto" w:fill="2A78D6"/>
          </w:tcPr>
          <w:p>
            <w:r/>
            <w:r>
              <w:rPr>
                <w:b/>
                <w:color w:val="FFFFFF"/>
                <w:sz w:val="16"/>
              </w:rPr>
              <w:t>Theme</w:t>
            </w:r>
          </w:p>
        </w:tc>
        <w:tc>
          <w:tcPr>
            <w:tcW w:type="dxa" w:w="2381"/>
            <w:shd w:val="clear" w:color="auto" w:fill="2A78D6"/>
          </w:tcPr>
          <w:p>
            <w:r/>
            <w:r>
              <w:rPr>
                <w:b/>
                <w:color w:val="FFFFFF"/>
                <w:sz w:val="16"/>
              </w:rPr>
              <w:t>Recommendation</w:t>
            </w:r>
          </w:p>
        </w:tc>
        <w:tc>
          <w:tcPr>
            <w:tcW w:type="dxa" w:w="1928"/>
            <w:shd w:val="clear" w:color="auto" w:fill="2A78D6"/>
          </w:tcPr>
          <w:p>
            <w:r/>
            <w:r>
              <w:rPr>
                <w:b/>
                <w:color w:val="FFFFFF"/>
                <w:sz w:val="16"/>
              </w:rPr>
              <w:t>Strength of evidence</w:t>
            </w:r>
          </w:p>
        </w:tc>
        <w:tc>
          <w:tcPr>
            <w:tcW w:type="dxa" w:w="3855"/>
            <w:shd w:val="clear" w:color="auto" w:fill="2A78D6"/>
          </w:tcPr>
          <w:p>
            <w:r/>
            <w:r>
              <w:rPr>
                <w:b/>
                <w:color w:val="FFFFFF"/>
                <w:sz w:val="16"/>
              </w:rPr>
              <w:t>Suggested action</w:t>
            </w:r>
          </w:p>
        </w:tc>
      </w:tr>
      <w:tr>
        <w:tc>
          <w:tcPr>
            <w:tcW w:type="dxa" w:w="1474"/>
          </w:tcPr>
          <w:p>
            <w:r/>
            <w:r>
              <w:rPr>
                <w:sz w:val="16"/>
              </w:rPr>
              <w:t>Operational challenge</w:t>
            </w:r>
          </w:p>
        </w:tc>
        <w:tc>
          <w:tcPr>
            <w:tcW w:type="dxa" w:w="2381"/>
          </w:tcPr>
          <w:p>
            <w:r/>
            <w:r>
              <w:rPr>
                <w:sz w:val="16"/>
              </w:rPr>
              <w:t>Fix the data foundation before further modelling</w:t>
            </w:r>
          </w:p>
        </w:tc>
        <w:tc>
          <w:tcPr>
            <w:tcW w:type="dxa" w:w="1928"/>
          </w:tcPr>
          <w:p>
            <w:r/>
            <w:r>
              <w:rPr>
                <w:sz w:val="16"/>
              </w:rPr>
              <w:t>High — verified by direct key checks</w:t>
            </w:r>
          </w:p>
        </w:tc>
        <w:tc>
          <w:tcPr>
            <w:tcW w:type="dxa" w:w="3855"/>
          </w:tcPr>
          <w:p>
            <w:r/>
            <w:r>
              <w:rPr>
                <w:sz w:val="16"/>
              </w:rPr>
              <w:t>Re-extract Appointments for the full year; enforce Facility→Department→Doctor foreign keys; add Facility master, bed status and equipment condition fields.</w:t>
            </w:r>
          </w:p>
        </w:tc>
      </w:tr>
      <w:tr>
        <w:tc>
          <w:tcPr>
            <w:tcW w:type="dxa" w:w="1474"/>
          </w:tcPr>
          <w:p>
            <w:r/>
            <w:r>
              <w:rPr>
                <w:sz w:val="16"/>
              </w:rPr>
              <w:t>Operational challenge</w:t>
            </w:r>
          </w:p>
        </w:tc>
        <w:tc>
          <w:tcPr>
            <w:tcW w:type="dxa" w:w="2381"/>
          </w:tcPr>
          <w:p>
            <w:r/>
            <w:r>
              <w:rPr>
                <w:sz w:val="16"/>
              </w:rPr>
              <w:t>Stop using bill 'Status' as a collections indicator</w:t>
            </w:r>
          </w:p>
        </w:tc>
        <w:tc>
          <w:tcPr>
            <w:tcW w:type="dxa" w:w="1928"/>
          </w:tcPr>
          <w:p>
            <w:r/>
            <w:r>
              <w:rPr>
                <w:sz w:val="16"/>
              </w:rPr>
              <w:t>High</w:t>
            </w:r>
          </w:p>
        </w:tc>
        <w:tc>
          <w:tcPr>
            <w:tcW w:type="dxa" w:w="3855"/>
          </w:tcPr>
          <w:p>
            <w:r/>
            <w:r>
              <w:rPr>
                <w:sz w:val="16"/>
              </w:rPr>
              <w:t>Derive Status from Amount vs AmountPaid in the billing system; reconcile Revenue_Summary (1.13 bn) with billing (9.31 bn).</w:t>
            </w:r>
          </w:p>
        </w:tc>
      </w:tr>
      <w:tr>
        <w:tc>
          <w:tcPr>
            <w:tcW w:type="dxa" w:w="1474"/>
          </w:tcPr>
          <w:p>
            <w:r/>
            <w:r>
              <w:rPr>
                <w:sz w:val="16"/>
              </w:rPr>
              <w:t>High-risk patients</w:t>
            </w:r>
          </w:p>
        </w:tc>
        <w:tc>
          <w:tcPr>
            <w:tcW w:type="dxa" w:w="2381"/>
          </w:tcPr>
          <w:p>
            <w:r/>
            <w:r>
              <w:rPr>
                <w:sz w:val="16"/>
              </w:rPr>
              <w:t>Target outreach with a rule-based list, not a predictive model</w:t>
            </w:r>
          </w:p>
        </w:tc>
        <w:tc>
          <w:tcPr>
            <w:tcW w:type="dxa" w:w="1928"/>
          </w:tcPr>
          <w:p>
            <w:r/>
            <w:r>
              <w:rPr>
                <w:sz w:val="16"/>
              </w:rPr>
              <w:t>Medium — rule is clinical logic; data cannot validate it</w:t>
            </w:r>
          </w:p>
        </w:tc>
        <w:tc>
          <w:tcPr>
            <w:tcW w:type="dxa" w:w="3855"/>
          </w:tcPr>
          <w:p>
            <w:r/>
            <w:r>
              <w:rPr>
                <w:sz w:val="16"/>
              </w:rPr>
              <w:t>Call-back / screening programme for the high-risk list, prioritising patients aged 65+ with a chronic condition and no 2026 visit; evaluate uptake to validate the rule.</w:t>
            </w:r>
          </w:p>
        </w:tc>
      </w:tr>
      <w:tr>
        <w:tc>
          <w:tcPr>
            <w:tcW w:type="dxa" w:w="1474"/>
          </w:tcPr>
          <w:p>
            <w:r/>
            <w:r>
              <w:rPr>
                <w:sz w:val="16"/>
              </w:rPr>
              <w:t>Patient satisfaction</w:t>
            </w:r>
          </w:p>
        </w:tc>
        <w:tc>
          <w:tcPr>
            <w:tcW w:type="dxa" w:w="2381"/>
          </w:tcPr>
          <w:p>
            <w:r/>
            <w:r>
              <w:rPr>
                <w:sz w:val="16"/>
              </w:rPr>
              <w:t>Redesign the feedback instrument and capture real drivers</w:t>
            </w:r>
          </w:p>
        </w:tc>
        <w:tc>
          <w:tcPr>
            <w:tcW w:type="dxa" w:w="1928"/>
          </w:tcPr>
          <w:p>
            <w:r/>
            <w:r>
              <w:rPr>
                <w:sz w:val="16"/>
              </w:rPr>
              <w:t>High (that data cannot explain satisfaction); drivers unknown</w:t>
            </w:r>
          </w:p>
        </w:tc>
        <w:tc>
          <w:tcPr>
            <w:tcW w:type="dxa" w:w="3855"/>
          </w:tcPr>
          <w:p>
            <w:r/>
            <w:r>
              <w:rPr>
                <w:sz w:val="16"/>
              </w:rPr>
              <w:t>Add wait time, staff courtesy, cleanliness, drug availability and discharge-time questions; validate comment/rating consistency; collect ≥ 348 ratings per facility to detect a 0.3-point difference with 80% power (currently ≈ 89).</w:t>
            </w:r>
          </w:p>
        </w:tc>
      </w:tr>
      <w:tr>
        <w:tc>
          <w:tcPr>
            <w:tcW w:type="dxa" w:w="1474"/>
          </w:tcPr>
          <w:p>
            <w:r/>
            <w:r>
              <w:rPr>
                <w:sz w:val="16"/>
              </w:rPr>
              <w:t>Patient satisfaction</w:t>
            </w:r>
          </w:p>
        </w:tc>
        <w:tc>
          <w:tcPr>
            <w:tcW w:type="dxa" w:w="2381"/>
          </w:tcPr>
          <w:p>
            <w:r/>
            <w:r>
              <w:rPr>
                <w:sz w:val="16"/>
              </w:rPr>
              <w:t>Do not rank facilities or departments on current ratings</w:t>
            </w:r>
          </w:p>
        </w:tc>
        <w:tc>
          <w:tcPr>
            <w:tcW w:type="dxa" w:w="1928"/>
          </w:tcPr>
          <w:p>
            <w:r/>
            <w:r>
              <w:rPr>
                <w:sz w:val="16"/>
              </w:rPr>
              <w:t>High</w:t>
            </w:r>
          </w:p>
        </w:tc>
        <w:tc>
          <w:tcPr>
            <w:tcW w:type="dxa" w:w="3855"/>
          </w:tcPr>
          <w:p>
            <w:r/>
            <w:r>
              <w:rPr>
                <w:sz w:val="16"/>
              </w:rPr>
              <w:t>Publish confidence intervals with any league table; investigate the lowest-rated sites only after the new instrument yields adequate samples.</w:t>
            </w:r>
          </w:p>
        </w:tc>
      </w:tr>
      <w:tr>
        <w:tc>
          <w:tcPr>
            <w:tcW w:type="dxa" w:w="1474"/>
          </w:tcPr>
          <w:p>
            <w:r/>
            <w:r>
              <w:rPr>
                <w:sz w:val="16"/>
              </w:rPr>
              <w:t>Resource optimisation</w:t>
            </w:r>
          </w:p>
        </w:tc>
        <w:tc>
          <w:tcPr>
            <w:tcW w:type="dxa" w:w="2381"/>
          </w:tcPr>
          <w:p>
            <w:r/>
            <w:r>
              <w:rPr>
                <w:sz w:val="16"/>
              </w:rPr>
              <w:t>Make staffing follow patient volume</w:t>
            </w:r>
          </w:p>
        </w:tc>
        <w:tc>
          <w:tcPr>
            <w:tcW w:type="dxa" w:w="1928"/>
          </w:tcPr>
          <w:p>
            <w:r/>
            <w:r>
              <w:rPr>
                <w:sz w:val="16"/>
              </w:rPr>
              <w:t>Medium — the volume gap is not statistically significant (p = 0.052) but is practically large</w:t>
            </w:r>
          </w:p>
        </w:tc>
        <w:tc>
          <w:tcPr>
            <w:tcW w:type="dxa" w:w="3855"/>
          </w:tcPr>
          <w:p>
            <w:r/>
            <w:r>
              <w:rPr>
                <w:sz w:val="16"/>
              </w:rPr>
              <w:t>Move toward a staffing ratio per 1,000 appointments; rebalance rotas from the quietest sites toward HF013/HF011 as a pilot; review monthly with a rolling 3-month workload index.</w:t>
            </w:r>
          </w:p>
        </w:tc>
      </w:tr>
      <w:tr>
        <w:tc>
          <w:tcPr>
            <w:tcW w:type="dxa" w:w="1474"/>
          </w:tcPr>
          <w:p>
            <w:r/>
            <w:r>
              <w:rPr>
                <w:sz w:val="16"/>
              </w:rPr>
              <w:t>Resource optimisation</w:t>
            </w:r>
          </w:p>
        </w:tc>
        <w:tc>
          <w:tcPr>
            <w:tcW w:type="dxa" w:w="2381"/>
          </w:tcPr>
          <w:p>
            <w:r/>
            <w:r>
              <w:rPr>
                <w:sz w:val="16"/>
              </w:rPr>
              <w:t>Verify bed capacity before any bed-related investment</w:t>
            </w:r>
          </w:p>
        </w:tc>
        <w:tc>
          <w:tcPr>
            <w:tcW w:type="dxa" w:w="1928"/>
          </w:tcPr>
          <w:p>
            <w:r/>
            <w:r>
              <w:rPr>
                <w:sz w:val="16"/>
              </w:rPr>
              <w:t>Low — Admissions table appears to be an extract</w:t>
            </w:r>
          </w:p>
        </w:tc>
        <w:tc>
          <w:tcPr>
            <w:tcW w:type="dxa" w:w="3855"/>
          </w:tcPr>
          <w:p>
            <w:r/>
            <w:r>
              <w:rPr>
                <w:sz w:val="16"/>
              </w:rPr>
              <w:t>Capture daily bed census; if the 4% figure holds, consolidate wards rather than expand.</w:t>
            </w:r>
          </w:p>
        </w:tc>
      </w:tr>
      <w:tr>
        <w:tc>
          <w:tcPr>
            <w:tcW w:type="dxa" w:w="1474"/>
          </w:tcPr>
          <w:p>
            <w:r/>
            <w:r>
              <w:rPr>
                <w:sz w:val="16"/>
              </w:rPr>
              <w:t>Resource optimisation</w:t>
            </w:r>
          </w:p>
        </w:tc>
        <w:tc>
          <w:tcPr>
            <w:tcW w:type="dxa" w:w="2381"/>
          </w:tcPr>
          <w:p>
            <w:r/>
            <w:r>
              <w:rPr>
                <w:sz w:val="16"/>
              </w:rPr>
              <w:t>Review lab-test ordering</w:t>
            </w:r>
          </w:p>
        </w:tc>
        <w:tc>
          <w:tcPr>
            <w:tcW w:type="dxa" w:w="1928"/>
          </w:tcPr>
          <w:p>
            <w:r/>
            <w:r>
              <w:rPr>
                <w:sz w:val="16"/>
              </w:rPr>
              <w:t>Medium — may be a data-linkage artefact</w:t>
            </w:r>
          </w:p>
        </w:tc>
        <w:tc>
          <w:tcPr>
            <w:tcW w:type="dxa" w:w="3855"/>
          </w:tcPr>
          <w:p>
            <w:r/>
            <w:r>
              <w:rPr>
                <w:sz w:val="16"/>
              </w:rPr>
              <w:t>Audit test-ordering against diagnostic protocols; link lab orders to diagnosis codes.</w:t>
            </w:r>
          </w:p>
        </w:tc>
      </w:tr>
      <w:tr>
        <w:tc>
          <w:tcPr>
            <w:tcW w:type="dxa" w:w="1474"/>
          </w:tcPr>
          <w:p>
            <w:r/>
            <w:r>
              <w:rPr>
                <w:sz w:val="16"/>
              </w:rPr>
              <w:t>Revenue improvement</w:t>
            </w:r>
          </w:p>
        </w:tc>
        <w:tc>
          <w:tcPr>
            <w:tcW w:type="dxa" w:w="2381"/>
          </w:tcPr>
          <w:p>
            <w:r/>
            <w:r>
              <w:rPr>
                <w:sz w:val="16"/>
              </w:rPr>
              <w:t>Collect the outstanding balance and clear pending claims</w:t>
            </w:r>
          </w:p>
        </w:tc>
        <w:tc>
          <w:tcPr>
            <w:tcW w:type="dxa" w:w="1928"/>
          </w:tcPr>
          <w:p>
            <w:r/>
            <w:r>
              <w:rPr>
                <w:sz w:val="16"/>
              </w:rPr>
              <w:t>High</w:t>
            </w:r>
          </w:p>
        </w:tc>
        <w:tc>
          <w:tcPr>
            <w:tcW w:type="dxa" w:w="3855"/>
          </w:tcPr>
          <w:p>
            <w:r/>
            <w:r>
              <w:rPr>
                <w:sz w:val="16"/>
              </w:rPr>
              <w:t>Weekly ageing report on outstanding balances; dedicated follow-up team for pending claims; agree turnaround SLAs with all four insurers; 0.64 bn RWF of 'Insurance'-method payments have no claim on file — reconcile.</w:t>
            </w:r>
          </w:p>
        </w:tc>
      </w:tr>
      <w:tr>
        <w:tc>
          <w:tcPr>
            <w:tcW w:type="dxa" w:w="1474"/>
          </w:tcPr>
          <w:p>
            <w:r/>
            <w:r>
              <w:rPr>
                <w:sz w:val="16"/>
              </w:rPr>
              <w:t>Revenue improvement</w:t>
            </w:r>
          </w:p>
        </w:tc>
        <w:tc>
          <w:tcPr>
            <w:tcW w:type="dxa" w:w="2381"/>
          </w:tcPr>
          <w:p>
            <w:r/>
            <w:r>
              <w:rPr>
                <w:sz w:val="16"/>
              </w:rPr>
              <w:t>Budget on a flat baseline and manage volatility</w:t>
            </w:r>
          </w:p>
        </w:tc>
        <w:tc>
          <w:tcPr>
            <w:tcW w:type="dxa" w:w="1928"/>
          </w:tcPr>
          <w:p>
            <w:r/>
            <w:r>
              <w:rPr>
                <w:sz w:val="16"/>
              </w:rPr>
              <w:t>Medium — only 12 monthly points</w:t>
            </w:r>
          </w:p>
        </w:tc>
        <w:tc>
          <w:tcPr>
            <w:tcW w:type="dxa" w:w="3855"/>
          </w:tcPr>
          <w:p>
            <w:r/>
            <w:r>
              <w:rPr>
                <w:sz w:val="16"/>
              </w:rPr>
              <w:t>Set the budget at the forecast mean with a contingency reserve; analyse the Sep-2026 peak (146 M) and Dec-2026 trough (67 M) for one-off billing events; collect 24+ months before using seasonal models.</w:t>
            </w:r>
          </w:p>
        </w:tc>
      </w:tr>
      <w:tr>
        <w:tc>
          <w:tcPr>
            <w:tcW w:type="dxa" w:w="1474"/>
          </w:tcPr>
          <w:p>
            <w:r/>
            <w:r>
              <w:rPr>
                <w:sz w:val="16"/>
              </w:rPr>
              <w:t>Service expansion</w:t>
            </w:r>
          </w:p>
        </w:tc>
        <w:tc>
          <w:tcPr>
            <w:tcW w:type="dxa" w:w="2381"/>
          </w:tcPr>
          <w:p>
            <w:r/>
            <w:r>
              <w:rPr>
                <w:sz w:val="16"/>
              </w:rPr>
              <w:t>Do not expand on current evidence — build the evidence</w:t>
            </w:r>
          </w:p>
        </w:tc>
        <w:tc>
          <w:tcPr>
            <w:tcW w:type="dxa" w:w="1928"/>
          </w:tcPr>
          <w:p>
            <w:r/>
            <w:r>
              <w:rPr>
                <w:sz w:val="16"/>
              </w:rPr>
              <w:t>Medium</w:t>
            </w:r>
          </w:p>
        </w:tc>
        <w:tc>
          <w:tcPr>
            <w:tcW w:type="dxa" w:w="3855"/>
          </w:tcPr>
          <w:p>
            <w:r/>
            <w:r>
              <w:rPr>
                <w:sz w:val="16"/>
              </w:rPr>
              <w:t>Add facility geography (district, ownership, type) and ServiceID on bills; re-run province-level demand vs capacity once available. Prioritise Cardiology and Radiology for a staffing review (highest forecast load index, ≈105–109), but treat as provisional.</w:t>
            </w:r>
          </w:p>
        </w:tc>
      </w:tr>
    </w:tbl>
    <w:p>
      <w:pPr>
        <w:spacing w:after="40"/>
      </w:pPr>
    </w:p>
    <w:p>
      <w:pPr>
        <w:pStyle w:val="Heading1"/>
      </w:pPr>
      <w:r>
        <w:t>Answers to the strategic questions</w:t>
      </w:r>
    </w:p>
    <w:tbl>
      <w:tblPr>
        <w:tblStyle w:val="TableGrid"/>
        <w:tblW w:type="auto" w:w="0"/>
        <w:jc w:val="center"/>
        <w:tblLook w:firstColumn="1" w:firstRow="1" w:lastColumn="0" w:lastRow="0" w:noHBand="0" w:noVBand="1" w:val="04A0"/>
      </w:tblPr>
      <w:tblGrid>
        <w:gridCol w:w="4986"/>
        <w:gridCol w:w="4986"/>
      </w:tblGrid>
      <w:tr>
        <w:tc>
          <w:tcPr>
            <w:tcW w:type="dxa" w:w="3118"/>
            <w:shd w:val="clear" w:color="auto" w:fill="2A78D6"/>
          </w:tcPr>
          <w:p>
            <w:r/>
            <w:r>
              <w:rPr>
                <w:b/>
                <w:color w:val="FFFFFF"/>
                <w:sz w:val="17"/>
              </w:rPr>
              <w:t>Question</w:t>
            </w:r>
          </w:p>
        </w:tc>
        <w:tc>
          <w:tcPr>
            <w:tcW w:type="dxa" w:w="6520"/>
            <w:shd w:val="clear" w:color="auto" w:fill="2A78D6"/>
          </w:tcPr>
          <w:p>
            <w:r/>
            <w:r>
              <w:rPr>
                <w:b/>
                <w:color w:val="FFFFFF"/>
                <w:sz w:val="17"/>
              </w:rPr>
              <w:t>Answer</w:t>
            </w:r>
          </w:p>
        </w:tc>
      </w:tr>
      <w:tr>
        <w:tc>
          <w:tcPr>
            <w:tcW w:type="dxa" w:w="3118"/>
          </w:tcPr>
          <w:p>
            <w:r/>
            <w:r>
              <w:rPr>
                <w:sz w:val="17"/>
              </w:rPr>
              <w:t>Which factors influence hospital admissions?</w:t>
            </w:r>
          </w:p>
        </w:tc>
        <w:tc>
          <w:tcPr>
            <w:tcW w:type="dxa" w:w="6520"/>
          </w:tcPr>
          <w:p>
            <w:r/>
            <w:r>
              <w:rPr>
                <w:sz w:val="17"/>
              </w:rPr>
              <w:t>None can be confirmed. 26 factors screened; none significant after correction; best model AUC ≈ 0.51 (chance).</w:t>
            </w:r>
          </w:p>
        </w:tc>
      </w:tr>
      <w:tr>
        <w:tc>
          <w:tcPr>
            <w:tcW w:type="dxa" w:w="3118"/>
          </w:tcPr>
          <w:p>
            <w:r/>
            <w:r>
              <w:rPr>
                <w:sz w:val="17"/>
              </w:rPr>
              <w:t>Which patient groups are most at risk of chronic disease?</w:t>
            </w:r>
          </w:p>
        </w:tc>
        <w:tc>
          <w:tcPr>
            <w:tcW w:type="dxa" w:w="6520"/>
          </w:tcPr>
          <w:p>
            <w:r/>
            <w:r>
              <w:rPr>
                <w:sz w:val="17"/>
              </w:rPr>
              <w:t>Prevalence is ~75% in every group; only blood group differs significantly (negligible effect). Use the clinical risk rule (65+ with chronic disease, obesity or underweight) for outreach.</w:t>
            </w:r>
          </w:p>
        </w:tc>
      </w:tr>
      <w:tr>
        <w:tc>
          <w:tcPr>
            <w:tcW w:type="dxa" w:w="3118"/>
          </w:tcPr>
          <w:p>
            <w:r/>
            <w:r>
              <w:rPr>
                <w:sz w:val="17"/>
              </w:rPr>
              <w:t>What factors affect patient satisfaction?</w:t>
            </w:r>
          </w:p>
        </w:tc>
        <w:tc>
          <w:tcPr>
            <w:tcW w:type="dxa" w:w="6520"/>
          </w:tcPr>
          <w:p>
            <w:r/>
            <w:r>
              <w:rPr>
                <w:sz w:val="17"/>
              </w:rPr>
              <w:t>None identifiable in recorded data (R² ≈ 0); the feedback instrument itself looks unreliable.</w:t>
            </w:r>
          </w:p>
        </w:tc>
      </w:tr>
      <w:tr>
        <w:tc>
          <w:tcPr>
            <w:tcW w:type="dxa" w:w="3118"/>
          </w:tcPr>
          <w:p>
            <w:r/>
            <w:r>
              <w:rPr>
                <w:sz w:val="17"/>
              </w:rPr>
              <w:t>Can future demand be forecast accurately?</w:t>
            </w:r>
          </w:p>
        </w:tc>
        <w:tc>
          <w:tcPr>
            <w:tcW w:type="dxa" w:w="6520"/>
          </w:tcPr>
          <w:p>
            <w:r/>
            <w:r>
              <w:rPr>
                <w:sz w:val="17"/>
              </w:rPr>
              <w:t>Only as a stable average (~5,000 visits/month, ±14%); seasonality cannot be assessed with 12 months.</w:t>
            </w:r>
          </w:p>
        </w:tc>
      </w:tr>
      <w:tr>
        <w:tc>
          <w:tcPr>
            <w:tcW w:type="dxa" w:w="3118"/>
          </w:tcPr>
          <w:p>
            <w:r/>
            <w:r>
              <w:rPr>
                <w:sz w:val="17"/>
              </w:rPr>
              <w:t>Which departments may become overloaded?</w:t>
            </w:r>
          </w:p>
        </w:tc>
        <w:tc>
          <w:tcPr>
            <w:tcW w:type="dxa" w:w="6520"/>
          </w:tcPr>
          <w:p>
            <w:r/>
            <w:r>
              <w:rPr>
                <w:sz w:val="17"/>
              </w:rPr>
              <w:t>None clearly. Cardiology and Radiology have the highest forecast load index (≈109, 105) but differences are not significant.</w:t>
            </w:r>
          </w:p>
        </w:tc>
      </w:tr>
      <w:tr>
        <w:tc>
          <w:tcPr>
            <w:tcW w:type="dxa" w:w="3118"/>
          </w:tcPr>
          <w:p>
            <w:r/>
            <w:r>
              <w:rPr>
                <w:sz w:val="17"/>
              </w:rPr>
              <w:t>How can resources be allocated more efficiently?</w:t>
            </w:r>
          </w:p>
        </w:tc>
        <w:tc>
          <w:tcPr>
            <w:tcW w:type="dxa" w:w="6520"/>
          </w:tcPr>
          <w:p>
            <w:r/>
            <w:r>
              <w:rPr>
                <w:sz w:val="17"/>
              </w:rPr>
              <w:t>Align staffing with facility volume; capture a bed census before changing capacity.</w:t>
            </w:r>
          </w:p>
        </w:tc>
      </w:tr>
      <w:tr>
        <w:tc>
          <w:tcPr>
            <w:tcW w:type="dxa" w:w="3118"/>
          </w:tcPr>
          <w:p>
            <w:r/>
            <w:r>
              <w:rPr>
                <w:sz w:val="17"/>
              </w:rPr>
              <w:t>What improvements maximise outcomes?</w:t>
            </w:r>
          </w:p>
        </w:tc>
        <w:tc>
          <w:tcPr>
            <w:tcW w:type="dxa" w:w="6520"/>
          </w:tcPr>
          <w:p>
            <w:r/>
            <w:r>
              <w:rPr>
                <w:sz w:val="17"/>
              </w:rPr>
              <w:t>Fix data integrity, then collections (0.92 bn unpaid), claims turnaround, a lab-ordering audit and a redesigned feedback survey.</w:t>
            </w:r>
          </w:p>
        </w:tc>
      </w:tr>
    </w:tbl>
    <w:p>
      <w:pPr>
        <w:spacing w:after="40"/>
      </w:pPr>
    </w:p>
    <w:p>
      <w:pPr>
        <w:pStyle w:val="Heading1"/>
      </w:pPr>
      <w:r>
        <w:t>Priorities for the next 90 days</w:t>
      </w:r>
    </w:p>
    <w:p>
      <w:pPr>
        <w:pStyle w:val="ListBullet"/>
        <w:spacing w:after="40"/>
      </w:pPr>
      <w:r>
        <w:t>Weeks 1–4: re-extract full Appointments data, enforce foreign keys, derive bill Status from amounts, reconcile revenue summary with billing.</w:t>
      </w:r>
    </w:p>
    <w:p>
      <w:pPr>
        <w:pStyle w:val="ListBullet"/>
        <w:spacing w:after="40"/>
      </w:pPr>
      <w:r>
        <w:t>Weeks 2–8: weekly outstanding-balance ageing report, follow-up team for pending claims, agreed turnaround times with all four insurers.</w:t>
      </w:r>
    </w:p>
    <w:p>
      <w:pPr>
        <w:pStyle w:val="ListBullet"/>
        <w:spacing w:after="40"/>
      </w:pPr>
      <w:r>
        <w:t>Weeks 4–12: launch the new feedback survey (wait time, courtesy, cleanliness, drug availability), outreach to high-risk patients without a 2026 visit, staffing pilot at the busiest and quietest sites.</w:t>
      </w:r>
    </w:p>
    <w:p>
      <w:pPr>
        <w:pStyle w:val="ListBullet"/>
        <w:spacing w:after="40"/>
      </w:pPr>
      <w:r>
        <w:t>Then: collect 24+ months of data and re-run the predictive models.</w:t>
      </w:r>
    </w:p>
    <w:p>
      <w:pPr>
        <w:pStyle w:val="Heading1"/>
      </w:pPr>
      <w:r>
        <w:t>Limitations</w:t>
      </w:r>
    </w:p>
    <w:p>
      <w:pPr>
        <w:spacing w:after="120"/>
      </w:pPr>
      <w:r>
        <w:rPr>
          <w:b w:val="0"/>
          <w:i w:val="0"/>
        </w:rPr>
        <w:t>Results rest on a data set whose tables do not link consistently, with 12 months of history and no facility master data. 'No effect found' means no effect detectable in these data, not proof of absence. Power BI and SQL deliverables belong to other tracks and are not included.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A78D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A78D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A78D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