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3C6E"/>
          <w:sz w:val="56"/>
        </w:rPr>
        <w:t>Written Solution Report</w:t>
      </w:r>
    </w:p>
    <w:p/>
    <w:p>
      <w:pPr>
        <w:jc w:val="center"/>
      </w:pPr>
      <w:r>
        <w:rPr>
          <w:b/>
          <w:color w:val="2E74B5"/>
          <w:sz w:val="36"/>
        </w:rPr>
        <w:t>Sarvasya — Access for All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703"/>
        <w:gridCol w:w="4703"/>
      </w:tblGrid>
      <w:tr>
        <w:tc>
          <w:tcPr>
            <w:tcW w:type="dxa" w:w="4703"/>
            <w:shd w:fill="1A3C6E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A3C6E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Team Name</w:t>
            </w:r>
          </w:p>
        </w:tc>
        <w:tc>
          <w:tcPr>
            <w:tcW w:type="dxa" w:w="4703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Code-Blooded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Institution Name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Drs. Kiran &amp; Pallavi Patel Global University</w:t>
            </w:r>
          </w:p>
        </w:tc>
      </w:tr>
      <w:tr>
        <w:tc>
          <w:tcPr>
            <w:tcW w:type="dxa" w:w="4703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Yi Chapter</w:t>
            </w:r>
          </w:p>
        </w:tc>
        <w:tc>
          <w:tcPr>
            <w:tcW w:type="dxa" w:w="4703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Vadodara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City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Vadodara</w:t>
            </w:r>
          </w:p>
        </w:tc>
      </w:tr>
      <w:tr>
        <w:tc>
          <w:tcPr>
            <w:tcW w:type="dxa" w:w="4703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Track</w:t>
            </w:r>
          </w:p>
        </w:tc>
        <w:tc>
          <w:tcPr>
            <w:tcW w:type="dxa" w:w="4703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Accessibility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Problem Statement Title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Audit to Action</w:t>
            </w:r>
          </w:p>
        </w:tc>
      </w:tr>
      <w:tr>
        <w:tc>
          <w:tcPr>
            <w:tcW w:type="dxa" w:w="4703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Solution Name</w:t>
            </w:r>
          </w:p>
        </w:tc>
        <w:tc>
          <w:tcPr>
            <w:tcW w:type="dxa" w:w="4703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Sarvasya — Access for All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Team Members &amp; Roles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Hetanshi Sidhpura (Project Administrator - Captain)</w:t>
              <w:br/>
              <w:t>Aaryan Jaiswal (Tech Lead)</w:t>
              <w:br/>
              <w:t>Dhruvi Jamnapara (Research)</w:t>
            </w:r>
          </w:p>
        </w:tc>
      </w:tr>
      <w:tr>
        <w:tc>
          <w:tcPr>
            <w:tcW w:type="dxa" w:w="4703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Date of Chapter Level Round</w:t>
            </w:r>
          </w:p>
        </w:tc>
        <w:tc>
          <w:tcPr>
            <w:tcW w:type="dxa" w:w="4703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22nd August 2026</w:t>
            </w:r>
          </w:p>
        </w:tc>
      </w:tr>
    </w:tbl>
    <w:p>
      <w:r>
        <w:br w:type="page"/>
      </w:r>
    </w:p>
    <w:p>
      <w:pPr>
        <w:pStyle w:val="Heading1"/>
      </w:pPr>
      <w:r>
        <w:t>3.1 Problem Understanding [15 marks]</w:t>
      </w:r>
    </w:p>
    <w:p>
      <w:r>
        <w:t xml:space="preserve">India has over </w:t>
      </w:r>
      <w:r>
        <w:rPr>
          <w:b/>
        </w:rPr>
        <w:t>2.68 crore persons with disabilities</w:t>
      </w:r>
      <w:r>
        <w:t xml:space="preserve"> (Census 2011); WHO estimates the true figure at 7–11 crore when invisible disabilities are included. The Rights of Persons with Disabilities (RPwD) Act 2016 mandates barrier-free access in all public buildings, yet an audit by NCPEDP found that </w:t>
      </w:r>
      <w:r>
        <w:rPr>
          <w:b/>
        </w:rPr>
        <w:t>less than 3% of government buildings are fully accessible</w:t>
      </w:r>
      <w:r>
        <w:t xml:space="preserve"> (with essential places like courts and hospitals remaining out of reach).</w:t>
      </w:r>
    </w:p>
    <w:p>
      <w:r>
        <w:t>The visible symptoms are steep ramps, missing lifts, absent tactile paths, and non-compliant restrooms. However, the root systemic gaps are:</w:t>
      </w:r>
    </w:p>
    <w:p>
      <w:pPr>
        <w:ind w:left="720" w:hanging="357"/>
      </w:pPr>
      <w:r>
        <w:t xml:space="preserve">1.  </w:t>
      </w:r>
      <w:r>
        <w:rPr>
          <w:b/>
        </w:rPr>
        <w:t xml:space="preserve">Zero transparency and accountability: </w:t>
      </w:r>
      <w:r>
        <w:t>No publicly accessible, real-time database tracks building compliance before citizens visit or holds officials accountable.</w:t>
      </w:r>
    </w:p>
    <w:p>
      <w:pPr>
        <w:ind w:left="720" w:hanging="357"/>
      </w:pPr>
      <w:r>
        <w:t xml:space="preserve">2.  </w:t>
      </w:r>
      <w:r>
        <w:rPr>
          <w:b/>
        </w:rPr>
        <w:t xml:space="preserve">Absence of a structured complaint-to-resolution pipeline: </w:t>
      </w:r>
      <w:r>
        <w:t xml:space="preserve">Complaints are left un-actioned or dismissed without valid justification. Crucially, post-construction retrofitting (e.g., adding a handrail when a lift is fundamentally missing) cannot fix structural access failures. </w:t>
      </w:r>
      <w:r>
        <w:rPr>
          <w:b/>
        </w:rPr>
        <w:t>The pipeline must focus on stopping future permissions for non-compliant designs at the planning stage — rejection of non-compliant designs is the primary goal.</w:t>
      </w:r>
    </w:p>
    <w:p>
      <w:pPr>
        <w:ind w:left="720" w:hanging="357"/>
      </w:pPr>
      <w:r>
        <w:t xml:space="preserve">3.  </w:t>
      </w:r>
      <w:r>
        <w:rPr>
          <w:b/>
        </w:rPr>
        <w:t xml:space="preserve">No incentive for compliance: </w:t>
      </w:r>
      <w:r>
        <w:t xml:space="preserve">Builders currently gain a competitive advantage by skipping accessibility to reduce construction costs and maximize sellable "carpet space." Existing fines (e.g., ₹5 lakh) are negligible developer expenses. </w:t>
      </w:r>
      <w:r>
        <w:rPr>
          <w:b/>
        </w:rPr>
        <w:t>The cost of non-compliance must be made significantly higher than compliance through delayed occupancy certificates, frozen planning approvals, and institutional sanctions.</w:t>
      </w:r>
    </w:p>
    <w:p>
      <w:pPr>
        <w:ind w:left="720" w:hanging="357"/>
      </w:pPr>
      <w:r>
        <w:t xml:space="preserve">4.  </w:t>
      </w:r>
      <w:r>
        <w:rPr>
          <w:b/>
        </w:rPr>
        <w:t xml:space="preserve">Fragmented enforcement: </w:t>
      </w:r>
      <w:r>
        <w:t>Accountability is split between architects, contractors, and municipal bodies, so no single entity owns the failure.</w:t>
      </w:r>
    </w:p>
    <w:p>
      <w:r>
        <w:t xml:space="preserve">The core problem is the </w:t>
      </w:r>
      <w:r>
        <w:rPr>
          <w:b/>
        </w:rPr>
        <w:t>lack of accountability and information transparency</w:t>
      </w:r>
      <w:r>
        <w:t>, treating accessibility as a paper formality rather than a lived reality.</w:t>
      </w:r>
    </w:p>
    <w:p>
      <w:pPr>
        <w:pStyle w:val="Heading1"/>
      </w:pPr>
      <w:r>
        <w:t>3.2 Proposed Solution [25 marks]</w:t>
      </w:r>
    </w:p>
    <w:p>
      <w:r>
        <w:rPr>
          <w:b/>
        </w:rPr>
        <w:t xml:space="preserve">Solution Name: </w:t>
      </w:r>
      <w:r>
        <w:t>Sarvasya — Access for All</w:t>
      </w:r>
    </w:p>
    <w:p>
      <w:r>
        <w:rPr>
          <w:b/>
        </w:rPr>
        <w:t xml:space="preserve">One-line Description: </w:t>
      </w:r>
      <w:r>
        <w:t>A public civic platform that enforces building accessibility by tracking compliance against IS 4963, publishing Live Accessible Facility Status, providing sign-reading &amp; navigation tools, and holding planning authorities legally accountable.</w:t>
      </w:r>
    </w:p>
    <w:p>
      <w:r>
        <w:rPr>
          <w:b/>
        </w:rPr>
        <w:t xml:space="preserve">Solution Type: </w:t>
      </w:r>
      <w:r>
        <w:t>☑ Product · ☑ Technology · ☑ Platform · ☑ Service · ☐ Hardware · ☑ Hybrid</w:t>
      </w:r>
    </w:p>
    <w:p>
      <w:r>
        <w:rPr>
          <w:b/>
        </w:rPr>
        <w:t xml:space="preserve">MVP Format: </w:t>
      </w:r>
      <w:r>
        <w:t xml:space="preserve">Website (offline-capable) · </w:t>
      </w:r>
      <w:r>
        <w:rPr>
          <w:b/>
        </w:rPr>
        <w:t xml:space="preserve">Full Product Roadmap: </w:t>
      </w:r>
      <w:r>
        <w:t>Native mobile app</w:t>
      </w:r>
    </w:p>
    <w:p>
      <w:pPr>
        <w:pStyle w:val="Heading2"/>
      </w:pPr>
      <w:r>
        <w:t>Core Features</w:t>
      </w:r>
    </w:p>
    <w:p>
      <w:r>
        <w:t>Sarvasya addresses accessibility across interconnected operational layers, prioritizing dignified independent access over charitable assistance:</w:t>
      </w:r>
    </w:p>
    <w:p>
      <w:pPr>
        <w:pStyle w:val="Heading3"/>
      </w:pPr>
      <w:r>
        <w:t>Layer 1 — Live Accessible Facility Status &amp; Audit Registry</w:t>
      </w:r>
    </w:p>
    <w:p>
      <w:r>
        <w:t xml:space="preserve">Replaces meaningless 1–5 abstract numerical ratings with a </w:t>
      </w:r>
      <w:r>
        <w:rPr>
          <w:b/>
        </w:rPr>
        <w:t>Live Accessible Facility Status Panel</w:t>
      </w:r>
      <w:r>
        <w:t xml:space="preserve">. An </w:t>
      </w:r>
      <w:r>
        <w:rPr>
          <w:i/>
        </w:rPr>
        <w:t>Accessible Facility</w:t>
      </w:r>
      <w:r>
        <w:t xml:space="preserve"> is defined as a complete set of prerequisite accessibility features correctly implemented. Key facilities tracked include:</w:t>
      </w:r>
    </w:p>
    <w:p>
      <w:pPr>
        <w:ind w:left="720" w:hanging="357"/>
      </w:pPr>
      <w:r>
        <w:rPr>
          <w:sz w:val="22"/>
        </w:rPr>
        <w:t xml:space="preserve">•  </w:t>
      </w:r>
      <w:r>
        <w:rPr>
          <w:b/>
        </w:rPr>
        <w:t>Accessible Ramp</w:t>
      </w:r>
      <w:r>
        <w:t xml:space="preserve"> (slope, width, surface)</w:t>
      </w:r>
    </w:p>
    <w:p>
      <w:pPr>
        <w:ind w:left="720" w:hanging="357"/>
      </w:pPr>
      <w:r>
        <w:rPr>
          <w:sz w:val="22"/>
        </w:rPr>
        <w:t xml:space="preserve">•  </w:t>
      </w:r>
      <w:r>
        <w:rPr>
          <w:b/>
        </w:rPr>
        <w:t>Accessible Toilet</w:t>
      </w:r>
      <w:r>
        <w:t xml:space="preserve"> (turning radius, grab rails, door swing)</w:t>
      </w:r>
    </w:p>
    <w:p>
      <w:pPr>
        <w:ind w:left="720" w:hanging="357"/>
      </w:pPr>
      <w:r>
        <w:rPr>
          <w:sz w:val="22"/>
        </w:rPr>
        <w:t xml:space="preserve">•  </w:t>
      </w:r>
      <w:r>
        <w:rPr>
          <w:b/>
        </w:rPr>
        <w:t>Accessible Lift</w:t>
      </w:r>
      <w:r>
        <w:t xml:space="preserve"> (door width, braille buttons, audio feedback)</w:t>
      </w:r>
    </w:p>
    <w:p>
      <w:pPr>
        <w:ind w:left="720" w:hanging="357"/>
      </w:pPr>
      <w:r>
        <w:rPr>
          <w:sz w:val="22"/>
        </w:rPr>
        <w:t xml:space="preserve">•  </w:t>
      </w:r>
      <w:r>
        <w:rPr>
          <w:b/>
        </w:rPr>
        <w:t>Accessible Stairs</w:t>
      </w:r>
      <w:r>
        <w:t xml:space="preserve"> (handrails on both sides, tactile warning)</w:t>
      </w:r>
    </w:p>
    <w:p>
      <w:pPr>
        <w:ind w:left="720" w:hanging="357"/>
      </w:pPr>
      <w:r>
        <w:rPr>
          <w:sz w:val="22"/>
        </w:rPr>
        <w:t xml:space="preserve">•  </w:t>
      </w:r>
      <w:r>
        <w:rPr>
          <w:b/>
        </w:rPr>
        <w:t>Accessible Parking</w:t>
      </w:r>
      <w:r>
        <w:t xml:space="preserve"> (reserved space, signage, level path)</w:t>
      </w:r>
    </w:p>
    <w:p>
      <w:pPr>
        <w:ind w:left="720" w:hanging="357"/>
      </w:pPr>
      <w:r>
        <w:rPr>
          <w:sz w:val="22"/>
        </w:rPr>
        <w:t xml:space="preserve">•  </w:t>
      </w:r>
      <w:r>
        <w:rPr>
          <w:b/>
        </w:rPr>
        <w:t>Accessible Service Counter</w:t>
      </w:r>
      <w:r>
        <w:t xml:space="preserve"> (lowered height, knee space)</w:t>
      </w:r>
    </w:p>
    <w:p>
      <w:r>
        <w:t xml:space="preserve">Each building record displays Y/N status per facility, compliance gap reports referenced against </w:t>
      </w:r>
      <w:r>
        <w:rPr>
          <w:b/>
        </w:rPr>
        <w:t>IS 4963</w:t>
      </w:r>
      <w:r>
        <w:t xml:space="preserve"> (the updated BIS standard superseding NBC 2016), verified audit summaries, and indoor wayfinding maps. Independent verification is achieved through audit pairs comprising architecture/civil engineering students paired with PwD auditors.</w:t>
      </w:r>
    </w:p>
    <w:p>
      <w:pPr>
        <w:pStyle w:val="Heading3"/>
      </w:pPr>
      <w:r>
        <w:t>Layer 2 — Accountable Complaint Pipeline &amp; Institutional Penalties</w:t>
      </w:r>
    </w:p>
    <w:p>
      <w:r>
        <w:t>Citizens file complaints that enter a transparent, shipping-tracker-style pipeline: Submitted → Assigned to Technical Officer (Name Visible) → In Progress → Resolved / Dismissed.</w:t>
      </w:r>
    </w:p>
    <w:p>
      <w:pPr>
        <w:ind w:left="720" w:hanging="357"/>
      </w:pPr>
      <w:r>
        <w:rPr>
          <w:sz w:val="22"/>
        </w:rPr>
        <w:t xml:space="preserve">•  </w:t>
      </w:r>
      <w:r>
        <w:rPr>
          <w:b/>
        </w:rPr>
        <w:t xml:space="preserve">Dismissal Rights &amp; Appeals: </w:t>
      </w:r>
      <w:r>
        <w:t>Officers must provide mandatory written justification for dismissals, and complaints cannot be dismissed without giving complainants an opportunity to appeal.</w:t>
      </w:r>
    </w:p>
    <w:p>
      <w:pPr>
        <w:ind w:left="720" w:hanging="357"/>
      </w:pPr>
      <w:r>
        <w:rPr>
          <w:sz w:val="22"/>
        </w:rPr>
        <w:t xml:space="preserve">•  </w:t>
      </w:r>
      <w:r>
        <w:rPr>
          <w:b/>
        </w:rPr>
        <w:t xml:space="preserve">Institutional Sanctions: </w:t>
      </w:r>
      <w:r>
        <w:t>If a municipal ward or planning department accumulates &gt;10 unresolved complaints, the department itself is automatically flagged for an SOP audit to justify its enforcement procedures.</w:t>
      </w:r>
    </w:p>
    <w:p>
      <w:pPr>
        <w:ind w:left="720" w:hanging="357"/>
      </w:pPr>
      <w:r>
        <w:rPr>
          <w:sz w:val="22"/>
        </w:rPr>
        <w:t xml:space="preserve">•  </w:t>
      </w:r>
      <w:r>
        <w:rPr>
          <w:b/>
        </w:rPr>
        <w:t xml:space="preserve">Developer Accountability &amp; Capacity Building: </w:t>
      </w:r>
      <w:r>
        <w:t>Identifies and calls to account officers and developers who facilitated non-compliant builds, providing mandatory capacity-building training.</w:t>
      </w:r>
    </w:p>
    <w:p>
      <w:pPr>
        <w:ind w:left="720" w:hanging="357"/>
      </w:pPr>
      <w:r>
        <w:rPr>
          <w:sz w:val="22"/>
        </w:rPr>
        <w:t xml:space="preserve">•  </w:t>
      </w:r>
      <w:r>
        <w:rPr>
          <w:b/>
        </w:rPr>
        <w:t xml:space="preserve">Submission Integrity &amp; 2FA: </w:t>
      </w:r>
      <w:r>
        <w:t>Deter misuse using 2FA user verification and a mandatory tick-box declaration of intent before filing: "To the best of my ability, I declare that what I am submitting is true."</w:t>
      </w:r>
    </w:p>
    <w:p>
      <w:pPr>
        <w:pStyle w:val="Heading3"/>
      </w:pPr>
      <w:r>
        <w:t>Layer 3 — Assistive Tech &amp; Universal Accessibility Controls</w:t>
      </w:r>
    </w:p>
    <w:p>
      <w:r>
        <w:t>Focuses on tools for dignified independent navigation: Voice Command Mode with an automated sign-board reader that reads signage aloud for visually impaired users. Features variable text size (A-, A, A+), high-contrast, color inversion, colorblind-safe themes (Deuteranopia/Tritanopia), ARIA labels, semantic HTML, and offline-first architecture via localStorage.</w:t>
      </w:r>
    </w:p>
    <w:p>
      <w:pPr>
        <w:ind w:left="567"/>
      </w:pPr>
      <w:r>
        <w:rPr>
          <w:i/>
        </w:rPr>
        <w:t xml:space="preserve">Design Rationale: </w:t>
      </w:r>
      <w:r>
        <w:t>Charitable "buddy" tracking and volunteer dependency features have been deliberately excluded to uphold independent, dignified access. Accessibility is an enforceable legal right, not a charitable favor.</w:t>
      </w:r>
    </w:p>
    <w:p>
      <w:pPr>
        <w:pStyle w:val="Heading2"/>
      </w:pPr>
      <w:r>
        <w:t>Root Cause → Solution Mapping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703"/>
        <w:gridCol w:w="4703"/>
      </w:tblGrid>
      <w:tr>
        <w:tc>
          <w:tcPr>
            <w:tcW w:type="dxa" w:w="4703"/>
            <w:shd w:fill="1A3C6E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Root Cause (from 3.1)</w:t>
            </w:r>
          </w:p>
        </w:tc>
        <w:tc>
          <w:tcPr>
            <w:tcW w:type="dxa" w:w="4703"/>
            <w:shd w:fill="1A3C6E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Sarvasya’s Response</w:t>
            </w:r>
          </w:p>
        </w:tc>
      </w:tr>
      <w:tr>
        <w:tc>
          <w:tcPr>
            <w:tcW w:type="dxa" w:w="4703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No transparency</w:t>
            </w:r>
          </w:p>
        </w:tc>
        <w:tc>
          <w:tcPr>
            <w:tcW w:type="dxa" w:w="4703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Live Accessible Facility Status registry with IS 4963 compliance audit trails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No complaint accountability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Shipping-tracker pipeline with named technical officers, mandatory appeal process, and department-level sanctions</w:t>
            </w:r>
          </w:p>
        </w:tc>
      </w:tr>
      <w:tr>
        <w:tc>
          <w:tcPr>
            <w:tcW w:type="dxa" w:w="4703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Unenforceable design standards</w:t>
            </w:r>
          </w:p>
        </w:tc>
        <w:tc>
          <w:tcPr>
            <w:tcW w:type="dxa" w:w="4703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Developer accountability, planning department SOP audits, and design-stage submission checklists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No compliance incentive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Delays in occupancy certificates &amp; public facility status create financial and reputational pressure</w:t>
            </w:r>
          </w:p>
        </w:tc>
      </w:tr>
    </w:tbl>
    <w:p/>
    <w:p>
      <w:pPr>
        <w:pStyle w:val="Heading2"/>
      </w:pPr>
      <w:r>
        <w:t>Target Users &amp; Beneficiaries</w:t>
      </w:r>
    </w:p>
    <w:p>
      <w:pPr>
        <w:ind w:left="720" w:hanging="357"/>
      </w:pPr>
      <w:r>
        <w:rPr>
          <w:sz w:val="22"/>
        </w:rPr>
        <w:t xml:space="preserve">•  </w:t>
      </w:r>
      <w:r>
        <w:rPr>
          <w:b/>
        </w:rPr>
        <w:t xml:space="preserve">Primary Users (PwD): </w:t>
      </w:r>
      <w:r>
        <w:t>Persons with mobility, visual, and cognitive impairments who gain dignified, independent access.</w:t>
      </w:r>
    </w:p>
    <w:p>
      <w:pPr>
        <w:ind w:left="720" w:hanging="357"/>
      </w:pPr>
      <w:r>
        <w:rPr>
          <w:sz w:val="22"/>
        </w:rPr>
        <w:t xml:space="preserve">•  </w:t>
      </w:r>
      <w:r>
        <w:rPr>
          <w:b/>
        </w:rPr>
        <w:t xml:space="preserve">Universal Beneficiaries (Everyone): </w:t>
      </w:r>
      <w:r>
        <w:t>Regular users benefit daily — delivery agents carrying packages (lever handles vs knobs), parents with strollers (ramps &amp; spacious lifts), children (accessible door latches), and elderly citizens.</w:t>
      </w:r>
    </w:p>
    <w:p>
      <w:pPr>
        <w:ind w:left="720" w:hanging="357"/>
      </w:pPr>
      <w:r>
        <w:rPr>
          <w:sz w:val="22"/>
        </w:rPr>
        <w:t xml:space="preserve">•  </w:t>
      </w:r>
      <w:r>
        <w:rPr>
          <w:b/>
        </w:rPr>
        <w:t xml:space="preserve">Infrequent &amp; Emergency Users: </w:t>
      </w:r>
      <w:r>
        <w:t>Emergency responders moving stretchers, furniture movers, and fire evacuation teams operating in accessible infrastructure.</w:t>
      </w:r>
    </w:p>
    <w:p>
      <w:pPr>
        <w:ind w:left="720" w:hanging="357"/>
      </w:pPr>
      <w:r>
        <w:rPr>
          <w:sz w:val="22"/>
        </w:rPr>
        <w:t xml:space="preserve">•  </w:t>
      </w:r>
      <w:r>
        <w:rPr>
          <w:b/>
        </w:rPr>
        <w:t xml:space="preserve">Institutional Stakeholders: </w:t>
      </w:r>
      <w:r>
        <w:t>Urban Planning &amp; Town Planning Departments, Public Works Department (PWD), Municipal Technical Officers, Architects, and Builders.</w:t>
      </w:r>
    </w:p>
    <w:p>
      <w:r>
        <w:br w:type="page"/>
      </w:r>
    </w:p>
    <w:p>
      <w:pPr>
        <w:pStyle w:val="Heading1"/>
      </w:pPr>
      <w:r>
        <w:t>3.3 Policy Recommendation [feeds Solution Quality &amp; Impact Potential]</w:t>
      </w:r>
    </w:p>
    <w:p>
      <w:r>
        <w:rPr>
          <w:b/>
        </w:rPr>
        <w:t xml:space="preserve">Policy Gap: </w:t>
      </w:r>
      <w:r>
        <w:t>The RPwD Act 2016 mandates accessibility, and IS 4963 outlines technical specifications. However, municipal planning websites lack a mandatory pre-construction submission checklist for accessibility facilities, allowing non-compliant designs to pass blue-printing and receive building permits.</w:t>
      </w:r>
    </w:p>
    <w:p/>
    <w:p>
      <w:r>
        <w:rPr>
          <w:b/>
        </w:rPr>
        <w:t>Specific Policy Recommendation:</w:t>
      </w:r>
    </w:p>
    <w:p>
      <w:pPr>
        <w:ind w:left="567"/>
      </w:pPr>
      <w:r>
        <w:rPr>
          <w:b/>
        </w:rPr>
        <w:t>Mandatory Digital Accessibility Checklist &amp; Public Disclosure:</w:t>
      </w:r>
    </w:p>
    <w:p>
      <w:pPr>
        <w:ind w:left="720" w:hanging="357"/>
      </w:pPr>
      <w:r>
        <w:t xml:space="preserve">1.  </w:t>
      </w:r>
      <w:r>
        <w:t xml:space="preserve">The Municipal Planning &amp; Town Planning Department must integrate a mandatory </w:t>
      </w:r>
      <w:r>
        <w:rPr>
          <w:b/>
        </w:rPr>
        <w:t>Accessibility Facility Checklist</w:t>
      </w:r>
      <w:r>
        <w:t xml:space="preserve"> on their developer planning submission portal. No building permit or Occupancy Certificate shall be issued without digital verification against IS 4963 standards.</w:t>
      </w:r>
    </w:p>
    <w:p>
      <w:pPr>
        <w:ind w:left="720" w:hanging="357"/>
      </w:pPr>
      <w:r>
        <w:t xml:space="preserve">2.  </w:t>
      </w:r>
      <w:r>
        <w:t xml:space="preserve">Every public building must publish its </w:t>
      </w:r>
      <w:r>
        <w:rPr>
          <w:b/>
        </w:rPr>
        <w:t>Live Accessible Facility Status</w:t>
      </w:r>
      <w:r>
        <w:t xml:space="preserve"> on a centralized register updated within 30 days of any audit or material resolution. Non-publication or false declaration shall trigger planning department sanctions.</w:t>
      </w:r>
    </w:p>
    <w:p/>
    <w:p>
      <w:r>
        <w:rPr>
          <w:b/>
        </w:rPr>
        <w:t>Which Government Body Should Act:</w:t>
      </w:r>
    </w:p>
    <w:p>
      <w:pPr>
        <w:ind w:left="720" w:hanging="357"/>
      </w:pPr>
      <w:r>
        <w:rPr>
          <w:sz w:val="22"/>
        </w:rPr>
        <w:t xml:space="preserve">•  </w:t>
      </w:r>
      <w:r>
        <w:rPr>
          <w:b/>
        </w:rPr>
        <w:t xml:space="preserve">Primary: </w:t>
      </w:r>
      <w:r>
        <w:t>Municipal Corporation Urban Planning &amp; Town Planning Departments, Public Works Department (PWD)</w:t>
      </w:r>
    </w:p>
    <w:p>
      <w:pPr>
        <w:ind w:left="720" w:hanging="357"/>
      </w:pPr>
      <w:r>
        <w:rPr>
          <w:sz w:val="22"/>
        </w:rPr>
        <w:t xml:space="preserve">•  </w:t>
      </w:r>
      <w:r>
        <w:rPr>
          <w:b/>
        </w:rPr>
        <w:t xml:space="preserve">Supporting: </w:t>
      </w:r>
      <w:r>
        <w:t>MoHUA &amp; State Urban Development Departments (building code enforcement)</w:t>
      </w:r>
    </w:p>
    <w:p>
      <w:pPr>
        <w:ind w:left="720" w:hanging="357"/>
      </w:pPr>
      <w:r>
        <w:rPr>
          <w:sz w:val="22"/>
        </w:rPr>
        <w:t xml:space="preserve">•  </w:t>
      </w:r>
      <w:r>
        <w:rPr>
          <w:b/>
        </w:rPr>
        <w:t xml:space="preserve">Implementation: </w:t>
      </w:r>
      <w:r>
        <w:t>Municipal Technical Officers and Certified Universal Design Auditors</w:t>
      </w:r>
    </w:p>
    <w:p>
      <w:pPr>
        <w:pStyle w:val="Heading1"/>
      </w:pPr>
      <w:r>
        <w:t>3.4 Feasibility &amp; Scalability [20 marks]</w:t>
      </w:r>
    </w:p>
    <w:p>
      <w:pPr>
        <w:pStyle w:val="Heading2"/>
      </w:pPr>
      <w:r>
        <w:t>First 90 Days (Pilot Implementation in Vadodara)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703"/>
        <w:gridCol w:w="4703"/>
      </w:tblGrid>
      <w:tr>
        <w:tc>
          <w:tcPr>
            <w:tcW w:type="dxa" w:w="4703"/>
            <w:shd w:fill="1A3C6E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Days</w:t>
            </w:r>
          </w:p>
        </w:tc>
        <w:tc>
          <w:tcPr>
            <w:tcW w:type="dxa" w:w="4703"/>
            <w:shd w:fill="1A3C6E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Milestone</w:t>
            </w:r>
          </w:p>
        </w:tc>
      </w:tr>
      <w:tr>
        <w:tc>
          <w:tcPr>
            <w:tcW w:type="dxa" w:w="4703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1–15</w:t>
            </w:r>
          </w:p>
        </w:tc>
        <w:tc>
          <w:tcPr>
            <w:tcW w:type="dxa" w:w="4703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Deploy pilot in Vadodara (Ward 6 — Alkapuri / Akota). Onboard 10 public buildings, 3 partner NGOs (Enable Me Access, Accessible Vadodara, United Way), and 1 Municipal Technical Accessibility Officer (Civil/Urban Planning background).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16–30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Conduct on-ground accessibility audits using audit pairs (architecture/civil engineering students paired with PwD auditors from local NGOs). Populate Live Accessible Facility Status and wayfinding maps.</w:t>
            </w:r>
          </w:p>
        </w:tc>
      </w:tr>
      <w:tr>
        <w:tc>
          <w:tcPr>
            <w:tcW w:type="dxa" w:w="4703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31–50</w:t>
            </w:r>
          </w:p>
        </w:tc>
        <w:tc>
          <w:tcPr>
            <w:tcW w:type="dxa" w:w="4703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Launch public-facing platform with pilot data. Distribute QR-coded posters at building entrances. Onboard 50 citizen testers (including wheelchair users, visually impaired individuals, and civil engineering students).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51–75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Expand Complaint Resolution &amp; Enforcement Workflow: Collect complaint pipeline data, train 2 municipal technical officers on complaint verification, establish appeal processing procedures, and iterate on assistive sign-reader features based on user feedback.</w:t>
            </w:r>
          </w:p>
        </w:tc>
      </w:tr>
      <w:tr>
        <w:tc>
          <w:tcPr>
            <w:tcW w:type="dxa" w:w="4703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76–90</w:t>
            </w:r>
          </w:p>
        </w:tc>
        <w:tc>
          <w:tcPr>
            <w:tcW w:type="dxa" w:w="4703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Publish pilot impact report (buildings audited, material resolutions achieved, average resolution time, department SOP compliance). Prepare proposal for city-wide rollout across Vadodara.</w:t>
            </w:r>
          </w:p>
        </w:tc>
      </w:tr>
    </w:tbl>
    <w:p/>
    <w:p>
      <w:pPr>
        <w:pStyle w:val="Heading2"/>
      </w:pPr>
      <w:r>
        <w:t>Cost Estimate (Pilot)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703"/>
        <w:gridCol w:w="4703"/>
      </w:tblGrid>
      <w:tr>
        <w:tc>
          <w:tcPr>
            <w:tcW w:type="dxa" w:w="4703"/>
            <w:shd w:fill="1A3C6E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703"/>
            <w:shd w:fill="1A3C6E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Cost (INR)</w:t>
            </w:r>
          </w:p>
        </w:tc>
      </w:tr>
      <w:tr>
        <w:tc>
          <w:tcPr>
            <w:tcW w:type="dxa" w:w="4703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Cloud hosting (1 year)</w:t>
            </w:r>
          </w:p>
        </w:tc>
        <w:tc>
          <w:tcPr>
            <w:tcW w:type="dxa" w:w="4703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₹36,000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Audit kits × 5 (measuring tape, inclinometer, clipboard)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₹5,000</w:t>
            </w:r>
          </w:p>
        </w:tc>
      </w:tr>
      <w:tr>
        <w:tc>
          <w:tcPr>
            <w:tcW w:type="dxa" w:w="4703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QR posters &amp; printed awareness material</w:t>
            </w:r>
          </w:p>
        </w:tc>
        <w:tc>
          <w:tcPr>
            <w:tcW w:type="dxa" w:w="4703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₹8,000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Travel &amp; field expenses (pilot ward, 90 days)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₹15,000</w:t>
            </w:r>
          </w:p>
        </w:tc>
      </w:tr>
      <w:tr>
        <w:tc>
          <w:tcPr>
            <w:tcW w:type="dxa" w:w="4703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Student auditor stipends (3 × ₹3,000/mo × 3 mo)</w:t>
            </w:r>
          </w:p>
        </w:tc>
        <w:tc>
          <w:tcPr>
            <w:tcW w:type="dxa" w:w="4703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₹27,000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Miscellaneous (SIM data packs, printing, contingency)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₹9,000</w:t>
            </w:r>
          </w:p>
        </w:tc>
      </w:tr>
      <w:tr>
        <w:tc>
          <w:tcPr>
            <w:tcW w:type="dxa" w:w="4703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Total Pilot Cost</w:t>
            </w:r>
          </w:p>
        </w:tc>
        <w:tc>
          <w:tcPr>
            <w:tcW w:type="dxa" w:w="4703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₹1,00,000 (approx.)</w:t>
            </w:r>
          </w:p>
        </w:tc>
      </w:tr>
    </w:tbl>
    <w:p/>
    <w:p>
      <w:r>
        <w:t>Built on open-source tools (React, Vite, Express) — zero licensing costs. The MVP website already runs offline.</w:t>
      </w:r>
    </w:p>
    <w:p>
      <w:pPr>
        <w:pStyle w:val="Heading2"/>
      </w:pPr>
      <w:r>
        <w:t>Infrastructure, Partners &amp; Stakeholders</w:t>
      </w:r>
    </w:p>
    <w:p>
      <w:pPr>
        <w:ind w:left="720" w:hanging="357"/>
      </w:pPr>
      <w:r>
        <w:rPr>
          <w:sz w:val="22"/>
        </w:rPr>
        <w:t xml:space="preserve">•  </w:t>
      </w:r>
      <w:r>
        <w:rPr>
          <w:b/>
        </w:rPr>
        <w:t xml:space="preserve">Infrastructure: </w:t>
      </w:r>
      <w:r>
        <w:t>Laptop, internet connection, ₹3,000/year cloud server. (App operates offline).</w:t>
      </w:r>
    </w:p>
    <w:p>
      <w:pPr>
        <w:ind w:left="720" w:hanging="357"/>
      </w:pPr>
      <w:r>
        <w:rPr>
          <w:sz w:val="22"/>
        </w:rPr>
        <w:t xml:space="preserve">•  </w:t>
      </w:r>
      <w:r>
        <w:rPr>
          <w:b/>
        </w:rPr>
        <w:t>Target Partner NGOs:</w:t>
      </w:r>
    </w:p>
    <w:p>
      <w:pPr>
        <w:ind w:left="1440" w:hanging="357"/>
      </w:pPr>
      <w:r>
        <w:rPr>
          <w:sz w:val="20"/>
        </w:rPr>
        <w:t xml:space="preserve">◦  </w:t>
      </w:r>
      <w:r>
        <w:rPr>
          <w:b/>
        </w:rPr>
        <w:t>Enable Me Access</w:t>
      </w:r>
      <w:r>
        <w:t xml:space="preserve"> — Technical accessibility expertise; only NGO with an active local chapter in Vadodara/Gujarat.</w:t>
      </w:r>
    </w:p>
    <w:p>
      <w:pPr>
        <w:ind w:left="1440" w:hanging="357"/>
      </w:pPr>
      <w:r>
        <w:rPr>
          <w:sz w:val="20"/>
        </w:rPr>
        <w:t xml:space="preserve">◦  </w:t>
      </w:r>
      <w:r>
        <w:rPr>
          <w:b/>
        </w:rPr>
        <w:t>Accessible Vadodara</w:t>
      </w:r>
      <w:r>
        <w:t xml:space="preserve"> — PwD community representation.</w:t>
      </w:r>
    </w:p>
    <w:p>
      <w:pPr>
        <w:ind w:left="1440" w:hanging="357"/>
      </w:pPr>
      <w:r>
        <w:rPr>
          <w:sz w:val="20"/>
        </w:rPr>
        <w:t xml:space="preserve">◦  </w:t>
      </w:r>
      <w:r>
        <w:rPr>
          <w:b/>
        </w:rPr>
        <w:t>United Way Vadodara</w:t>
      </w:r>
      <w:r>
        <w:t xml:space="preserve"> — Strong local influence &amp; outreach.</w:t>
      </w:r>
    </w:p>
    <w:p/>
    <w:p>
      <w:r>
        <w:rPr>
          <w:b/>
        </w:rPr>
        <w:t>Key Stakeholders &amp; Roles: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703"/>
        <w:gridCol w:w="4703"/>
      </w:tblGrid>
      <w:tr>
        <w:tc>
          <w:tcPr>
            <w:tcW w:type="dxa" w:w="4703"/>
            <w:shd w:fill="1A3C6E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Stakeholder</w:t>
            </w:r>
          </w:p>
        </w:tc>
        <w:tc>
          <w:tcPr>
            <w:tcW w:type="dxa" w:w="4703"/>
            <w:shd w:fill="1A3C6E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4703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Urban Planning / Town Planning / PWD</w:t>
            </w:r>
          </w:p>
        </w:tc>
        <w:tc>
          <w:tcPr>
            <w:tcW w:type="dxa" w:w="4703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Enforce submission checklists, review &gt;10 complaint ward flags, validate permits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Municipal Technical Officer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Validates audit results, processes complaints, handles appeals</w:t>
            </w:r>
          </w:p>
        </w:tc>
      </w:tr>
      <w:tr>
        <w:tc>
          <w:tcPr>
            <w:tcW w:type="dxa" w:w="4703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Enable Me Access &amp; Local NGOs</w:t>
            </w:r>
          </w:p>
        </w:tc>
        <w:tc>
          <w:tcPr>
            <w:tcW w:type="dxa" w:w="4703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Field audit oversight, recruiting PwD student audit partners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Architecture &amp; Engineering Students + PwDs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Conduct independent field audits as verified audit pairs</w:t>
            </w:r>
          </w:p>
        </w:tc>
      </w:tr>
      <w:tr>
        <w:tc>
          <w:tcPr>
            <w:tcW w:type="dxa" w:w="4703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Architects / Builders</w:t>
            </w:r>
          </w:p>
        </w:tc>
        <w:tc>
          <w:tcPr>
            <w:tcW w:type="dxa" w:w="4703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Complete mandatory pre-construction accessibility checklist before submission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Yi Vadodara Chapter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Coordinate pilot execution and community outreach</w:t>
            </w:r>
          </w:p>
        </w:tc>
      </w:tr>
    </w:tbl>
    <w:p/>
    <w:p>
      <w:pPr>
        <w:pStyle w:val="Heading2"/>
      </w:pPr>
      <w:r>
        <w:t>Scalability Roadmap</w:t>
      </w:r>
    </w:p>
    <w:p>
      <w:r>
        <w:rPr>
          <w:b/>
        </w:rPr>
        <w:t>Pilot</w:t>
      </w:r>
      <w:r>
        <w:t xml:space="preserve"> (1 Ward, 10 buildings in Vadodara) → 90 days → </w:t>
      </w:r>
      <w:r>
        <w:rPr>
          <w:b/>
        </w:rPr>
        <w:t>City</w:t>
      </w:r>
      <w:r>
        <w:t xml:space="preserve"> (Vadodara city-wide, 100+ buildings) → 6 months → </w:t>
      </w:r>
      <w:r>
        <w:rPr>
          <w:b/>
        </w:rPr>
        <w:t>State</w:t>
      </w:r>
      <w:r>
        <w:t xml:space="preserve"> (Gujarat urban centers, 1,000+ buildings, state urban development integration) → 12 months → </w:t>
      </w:r>
      <w:r>
        <w:rPr>
          <w:b/>
        </w:rPr>
        <w:t>National</w:t>
      </w:r>
      <w:r>
        <w:t xml:space="preserve"> (10,000+ buildings, MoHUA API integration) → 24 months.</w:t>
      </w:r>
    </w:p>
    <w:p>
      <w:r>
        <w:br w:type="page"/>
      </w:r>
    </w:p>
    <w:p>
      <w:pPr>
        <w:pStyle w:val="Heading1"/>
      </w:pPr>
      <w:r>
        <w:t>3.5 Innovation &amp; Differentiation [15 marks]</w:t>
      </w:r>
    </w:p>
    <w:p>
      <w:r>
        <w:t xml:space="preserve">Most accessibility efforts in India are </w:t>
      </w:r>
      <w:r>
        <w:rPr>
          <w:b/>
        </w:rPr>
        <w:t>report-based</w:t>
      </w:r>
      <w:r>
        <w:t xml:space="preserve"> — an NGO audits a building, files a paper report, and it gathers dust. Sarvasya inverts this model by making accessibility data </w:t>
      </w:r>
      <w:r>
        <w:rPr>
          <w:b/>
        </w:rPr>
        <w:t>live, public, and actionable</w:t>
      </w:r>
      <w:r>
        <w:t>.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A3C6E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Existing Effort</w:t>
            </w:r>
          </w:p>
        </w:tc>
        <w:tc>
          <w:tcPr>
            <w:tcW w:type="dxa" w:w="3135"/>
            <w:shd w:fill="1A3C6E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Gap</w:t>
            </w:r>
          </w:p>
        </w:tc>
        <w:tc>
          <w:tcPr>
            <w:tcW w:type="dxa" w:w="3135"/>
            <w:shd w:fill="1A3C6E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Sarvasya’s Advantage</w:t>
            </w:r>
          </w:p>
        </w:tc>
      </w:tr>
      <w:tr>
        <w:tc>
          <w:tcPr>
            <w:tcW w:type="dxa" w:w="3135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Sugamya Bharat Abhiyan</w:t>
            </w:r>
          </w:p>
        </w:tc>
        <w:tc>
          <w:tcPr>
            <w:tcW w:type="dxa" w:w="3135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Top-down, no citizen feedback loop, no public facility status</w:t>
            </w:r>
          </w:p>
        </w:tc>
        <w:tc>
          <w:tcPr>
            <w:tcW w:type="dxa" w:w="3135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Bottom-up citizen reporting + public transparency + IS 4963 audit trails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Wheelmap.org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Wheelchair-only; no compliance data or legal complaint pipeline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Full Accessible Facility status (Toilets, Ramps, Lifts, Parking, Stairs) against IS 4963</w:t>
            </w:r>
          </w:p>
        </w:tc>
      </w:tr>
      <w:tr>
        <w:tc>
          <w:tcPr>
            <w:tcW w:type="dxa" w:w="3135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AccessNow</w:t>
            </w:r>
          </w:p>
        </w:tc>
        <w:tc>
          <w:tcPr>
            <w:tcW w:type="dxa" w:w="3135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Crowdsourced reviews only; no officer accountability</w:t>
            </w:r>
          </w:p>
        </w:tc>
        <w:tc>
          <w:tcPr>
            <w:tcW w:type="dxa" w:w="3135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Named technical officer assignment, complainant appeal rights, and department-level sanctions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Manual CPWD audits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Paper-based, no public disclosure, no follow-up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Digital audit trail, Realtime Accessible Facility Status, indoor sign-reading</w:t>
            </w:r>
          </w:p>
        </w:tc>
      </w:tr>
    </w:tbl>
    <w:p/>
    <w:p>
      <w:r>
        <w:rPr>
          <w:b/>
        </w:rPr>
        <w:t xml:space="preserve">Core Innovation: </w:t>
      </w:r>
      <w:r>
        <w:t xml:space="preserve">The </w:t>
      </w:r>
      <w:r>
        <w:rPr>
          <w:b/>
        </w:rPr>
        <w:t>complaint-to-accessibility status &amp; accountability feedback loop</w:t>
      </w:r>
      <w:r>
        <w:t>. Unresolved complaints directly impact a building’s public accessibility status, while triggering planning department SOP reviews after threshold violations (&gt;10 complaints). This creates systemic pressure at the planning permit level rather than relying on post-construction goodwill.</w:t>
      </w:r>
    </w:p>
    <w:p>
      <w:pPr>
        <w:pStyle w:val="Heading1"/>
      </w:pPr>
      <w:r>
        <w:t>3.6 Impact Potential [15 marks]</w:t>
      </w:r>
    </w:p>
    <w:p>
      <w:r>
        <w:rPr>
          <w:b/>
        </w:rPr>
        <w:t xml:space="preserve">Direct Beneficiaries: </w:t>
      </w:r>
      <w:r>
        <w:t xml:space="preserve">India’s </w:t>
      </w:r>
      <w:r>
        <w:rPr>
          <w:b/>
        </w:rPr>
        <w:t>2.68 crore</w:t>
      </w:r>
      <w:r>
        <w:t xml:space="preserve"> registered PwDs plus an estimated </w:t>
      </w:r>
      <w:r>
        <w:rPr>
          <w:b/>
        </w:rPr>
        <w:t>4–8 crore</w:t>
      </w:r>
      <w:r>
        <w:t xml:space="preserve"> unregistered individuals. In Vadodara (~22+ lakh population), approximately </w:t>
      </w:r>
      <w:r>
        <w:rPr>
          <w:b/>
        </w:rPr>
        <w:t>1–1.8 lakh</w:t>
      </w:r>
      <w:r>
        <w:t xml:space="preserve"> persons with disabilities benefit directly.</w:t>
      </w:r>
    </w:p>
    <w:p>
      <w:r>
        <w:rPr>
          <w:b/>
        </w:rPr>
        <w:t xml:space="preserve">Universal Beneficiaries: </w:t>
      </w:r>
      <w:r>
        <w:t>~13.8 crore elderly citizens, parents with strollers, delivery workers, pregnant women, and emergency responders who rely on universal design infrastructure.</w:t>
      </w:r>
    </w:p>
    <w:p>
      <w:pPr>
        <w:pStyle w:val="Heading2"/>
      </w:pPr>
      <w:r>
        <w:t>Measurable KPIs (Year 1 Pilot)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703"/>
        <w:gridCol w:w="4703"/>
      </w:tblGrid>
      <w:tr>
        <w:tc>
          <w:tcPr>
            <w:tcW w:type="dxa" w:w="4703"/>
            <w:shd w:fill="1A3C6E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KPI</w:t>
            </w:r>
          </w:p>
        </w:tc>
        <w:tc>
          <w:tcPr>
            <w:tcW w:type="dxa" w:w="4703"/>
            <w:shd w:fill="1A3C6E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Target (Year 1 Pilot)</w:t>
            </w:r>
          </w:p>
        </w:tc>
      </w:tr>
      <w:tr>
        <w:tc>
          <w:tcPr>
            <w:tcW w:type="dxa" w:w="4703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Live Accessibility Status posted</w:t>
            </w:r>
          </w:p>
        </w:tc>
        <w:tc>
          <w:tcPr>
            <w:tcW w:type="dxa" w:w="4703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100+ buildings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Accessibility complaints filed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500+</w:t>
            </w:r>
          </w:p>
        </w:tc>
      </w:tr>
      <w:tr>
        <w:tc>
          <w:tcPr>
            <w:tcW w:type="dxa" w:w="4703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Average complaint time to Material Resolution</w:t>
            </w:r>
          </w:p>
        </w:tc>
        <w:tc>
          <w:tcPr>
            <w:tcW w:type="dxa" w:w="4703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&lt; 30 days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Average complaint resolution time to Legal Accountability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&lt; 60 days</w:t>
            </w:r>
          </w:p>
        </w:tc>
      </w:tr>
      <w:tr>
        <w:tc>
          <w:tcPr>
            <w:tcW w:type="dxa" w:w="4703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Complaints resolved vs. dismissed ratio</w:t>
            </w:r>
          </w:p>
        </w:tc>
        <w:tc>
          <w:tcPr>
            <w:tcW w:type="dxa" w:w="4703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&gt; 70% resolved (with appeal option)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Student-PwD Universal Design Audit Pairs active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25 pairs</w:t>
            </w:r>
          </w:p>
        </w:tc>
      </w:tr>
      <w:tr>
        <w:tc>
          <w:tcPr>
            <w:tcW w:type="dxa" w:w="4703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Emergency &amp; sign-reader uses</w:t>
            </w:r>
          </w:p>
        </w:tc>
        <w:tc>
          <w:tcPr>
            <w:tcW w:type="dxa" w:w="4703"/>
            <w:shd w:fill="EDF2F9" w:val="clear"/>
          </w:tcPr>
          <w:p>
            <w:r/>
            <w:r>
              <w:rPr>
                <w:rFonts w:ascii="Calibri" w:hAnsi="Calibri"/>
                <w:sz w:val="20"/>
              </w:rPr>
              <w:t>Tracked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User satisfaction (post-visit survey)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&gt; 80% positive</w:t>
            </w:r>
          </w:p>
        </w:tc>
      </w:tr>
    </w:tbl>
    <w:p/>
    <w:p>
      <w:pPr>
        <w:pStyle w:val="Heading2"/>
      </w:pPr>
      <w:r>
        <w:t>Timeline to Impact</w:t>
      </w:r>
    </w:p>
    <w:p>
      <w:pPr>
        <w:ind w:left="720" w:hanging="357"/>
      </w:pPr>
      <w:r>
        <w:rPr>
          <w:sz w:val="22"/>
        </w:rPr>
        <w:t xml:space="preserve">•  </w:t>
      </w:r>
      <w:r>
        <w:rPr>
          <w:b/>
        </w:rPr>
        <w:t xml:space="preserve">30 days: </w:t>
      </w:r>
      <w:r>
        <w:t>First buildings in Vadodara display Live Accessible Facility Status; initial complaints logged.</w:t>
      </w:r>
    </w:p>
    <w:p>
      <w:pPr>
        <w:ind w:left="720" w:hanging="357"/>
      </w:pPr>
      <w:r>
        <w:rPr>
          <w:sz w:val="22"/>
        </w:rPr>
        <w:t xml:space="preserve">•  </w:t>
      </w:r>
      <w:r>
        <w:rPr>
          <w:b/>
        </w:rPr>
        <w:t xml:space="preserve">90 days: </w:t>
      </w:r>
      <w:r>
        <w:t>Measurable material resolution data; municipal technical officers actively processing appeals and audits.</w:t>
      </w:r>
    </w:p>
    <w:p>
      <w:pPr>
        <w:ind w:left="720" w:hanging="357"/>
      </w:pPr>
      <w:r>
        <w:rPr>
          <w:sz w:val="22"/>
        </w:rPr>
        <w:t xml:space="preserve">•  </w:t>
      </w:r>
      <w:r>
        <w:rPr>
          <w:b/>
        </w:rPr>
        <w:t xml:space="preserve">6 months: </w:t>
      </w:r>
      <w:r>
        <w:t>Demonstrable building compliance improvements in Vadodara Ward 6 driven by design submission checklists and status transparency.</w:t>
      </w:r>
    </w:p>
    <w:p>
      <w:pPr>
        <w:ind w:left="720" w:hanging="357"/>
      </w:pPr>
      <w:r>
        <w:rPr>
          <w:sz w:val="22"/>
        </w:rPr>
        <w:t xml:space="preserve">•  </w:t>
      </w:r>
      <w:r>
        <w:rPr>
          <w:b/>
        </w:rPr>
        <w:t xml:space="preserve">12 months: </w:t>
      </w:r>
      <w:r>
        <w:t>City-level data ready for Gujarat State Urban Development Department policy integration.</w:t>
      </w:r>
    </w:p>
    <w:p/>
    <w:p>
      <w:r>
        <w:rPr>
          <w:i/>
        </w:rPr>
        <w:t>Sarvasya shifts accessibility from a charitable after-thought into an enforceable structural standard.</w:t>
      </w:r>
    </w:p>
    <w:p/>
    <w:p>
      <w:pPr>
        <w:jc w:val="center"/>
      </w:pPr>
      <w:r>
        <w:rPr>
          <w:i/>
        </w:rPr>
        <w:t>All feedback comments and highlighted annotations from reviewer Peter Gibson have been incorporated into this document.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