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w:cs="Times" w:eastAsia="Times" w:hAnsi="Times"/>
          <w:sz w:val="24"/>
          <w:szCs w:val="24"/>
          <w:rtl w:val="0"/>
        </w:rPr>
        <w:t xml:space="preserve">CHAPTER 1 – INTRODUCTION</w:t>
      </w: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w:cs="Times" w:eastAsia="Times" w:hAnsi="Times"/>
          <w:sz w:val="24"/>
          <w:szCs w:val="24"/>
          <w:rtl w:val="0"/>
        </w:rPr>
        <w:t xml:space="preserve">A.</w:t>
        <w:tab/>
        <w:t xml:space="preserve">PURPOSE</w:t>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Verdana" w:cs="Verdana" w:eastAsia="Verdana" w:hAnsi="Verdana"/>
          <w:sz w:val="24"/>
          <w:szCs w:val="24"/>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Fonts w:ascii="Times" w:cs="Times" w:eastAsia="Times" w:hAnsi="Times"/>
          <w:sz w:val="24"/>
          <w:szCs w:val="24"/>
          <w:rtl w:val="0"/>
        </w:rPr>
        <w:t xml:space="preserve">§ </w:t>
      </w:r>
      <w:r w:rsidDel="00000000" w:rsidR="00000000" w:rsidRPr="00000000">
        <w:rPr>
          <w:rFonts w:ascii="Verdana" w:cs="Verdana" w:eastAsia="Verdana" w:hAnsi="Verdana"/>
          <w:sz w:val="24"/>
          <w:szCs w:val="24"/>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Verdana" w:cs="Verdana" w:eastAsia="Verdana" w:hAnsi="Verdana"/>
          <w:sz w:val="24"/>
          <w:szCs w:val="24"/>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Fonts w:ascii="Verdana" w:cs="Verdana" w:eastAsia="Verdana" w:hAnsi="Verdana"/>
          <w:sz w:val="24"/>
          <w:szCs w:val="24"/>
          <w:rtl w:val="0"/>
        </w:rPr>
        <w:t xml:space="preserve">This Handbook does not create additional rights against the standing trustee or United States Trustee in favor of other parties.</w:t>
        <w:tab/>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w:cs="Times" w:eastAsia="Times" w:hAnsi="Times"/>
          <w:sz w:val="24"/>
          <w:szCs w:val="24"/>
          <w:rtl w:val="0"/>
        </w:rPr>
        <w:t xml:space="preserve">B.</w:t>
        <w:tab/>
        <w:t xml:space="preserve">ROLE OF THE UNITED STATES TRUSTEE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Verdana" w:cs="Verdana" w:eastAsia="Verdana" w:hAnsi="Verdana"/>
          <w:sz w:val="24"/>
          <w:szCs w:val="24"/>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Verdana" w:cs="Verdana" w:eastAsia="Verdana" w:hAnsi="Verdana"/>
          <w:sz w:val="24"/>
          <w:szCs w:val="24"/>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sz w:val="24"/>
          <w:szCs w:val="24"/>
          <w:vertAlign w:val="superscript"/>
          <w:rtl w:val="0"/>
        </w:rPr>
        <w:t xml:space="preserve">/</w:t>
      </w:r>
      <w:r w:rsidDel="00000000" w:rsidR="00000000" w:rsidRPr="00000000">
        <w:rPr>
          <w:rFonts w:ascii="Verdana" w:cs="Verdana" w:eastAsia="Verdana" w:hAnsi="Verdana"/>
          <w:sz w:val="24"/>
          <w:szCs w:val="24"/>
          <w:rtl w:val="0"/>
        </w:rPr>
        <w:t xml:space="preserve">  This Handbook is issued under the authority of the Program’s enabling statutes.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w:cs="Times" w:eastAsia="Times" w:hAnsi="Times"/>
          <w:sz w:val="24"/>
          <w:szCs w:val="24"/>
          <w:rtl w:val="0"/>
        </w:rPr>
        <w:t xml:space="preserve">C.</w:t>
        <w:tab/>
        <w:t xml:space="preserve">STATUTORY DUTIES OF A STANDING TRUSTEE</w:t>
        <w:tab/>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Fonts w:ascii="Verdana" w:cs="Verdana" w:eastAsia="Verdana" w:hAnsi="Verdana"/>
          <w:sz w:val="24"/>
          <w:szCs w:val="24"/>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Fonts w:ascii="Verdana" w:cs="Verdana" w:eastAsia="Verdana" w:hAnsi="Verdana"/>
          <w:sz w:val="24"/>
          <w:szCs w:val="24"/>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r w:rsidDel="00000000" w:rsidR="00000000" w:rsidRPr="00000000">
        <w:rPr>
          <w:rtl w:val="0"/>
        </w:rPr>
      </w:r>
    </w:p>
    <w:sectPr>
      <w:headerReference r:id="rId7" w:type="default"/>
      <w:footerReference r:id="rId8" w:type="default"/>
      <w:pgSz w:h="15840" w:w="12240" w:orient="portrait"/>
      <w:pgMar w:bottom="171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30"/>
        <w:szCs w:val="30"/>
      </w:rPr>
    </w:pPr>
    <w:r w:rsidDel="00000000" w:rsidR="00000000" w:rsidRPr="00000000">
      <w:rPr>
        <w:sz w:val="30"/>
        <w:szCs w:val="30"/>
        <w:rtl w:val="0"/>
      </w:rPr>
      <w:t xml:space="preserve">Copyright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sz w:val="30"/>
        <w:szCs w:val="30"/>
      </w:rPr>
    </w:pPr>
    <w:r w:rsidDel="00000000" w:rsidR="00000000" w:rsidRPr="00000000">
      <w:rPr>
        <w:sz w:val="30"/>
        <w:szCs w:val="30"/>
        <w:rtl w:val="0"/>
      </w:rPr>
      <w:t xml:space="preserve">US Trustee Handbook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EtnUe1frIA25vlWdtEKc3wxSw==">CgMxLjA4AHIhMUhQT3RNRzFQNVUwRjR2eDBMZWdJYU8yZE9Sc2lVQVRj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