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 the future, I accept that my project may eventually go out of date. With that in mind, I have added mechanisms for the cost both per plot and per share to increase, as well as the number of plots, plot holders and members. The price per plot must be divisible b</w:t>
      </w:r>
      <w:r w:rsidDel="00000000" w:rsidR="00000000" w:rsidRPr="00000000">
        <w:rPr>
          <w:highlight w:val="magenta"/>
          <w:rtl w:val="0"/>
        </w:rPr>
        <w:t xml:space="preserve">y 6 for reasons stated earlier in this document</w:t>
      </w:r>
      <w:r w:rsidDel="00000000" w:rsidR="00000000" w:rsidRPr="00000000">
        <w:rPr>
          <w:highlight w:val="magenta"/>
          <w:rtl w:val="0"/>
        </w:rPr>
        <w:t xml:space="preserve">.</w:t>
      </w:r>
      <w:r w:rsidDel="00000000" w:rsidR="00000000" w:rsidRPr="00000000">
        <w:rPr>
          <w:rtl w:val="0"/>
        </w:rPr>
        <w:t xml:space="preserve"> These mechanisms can also make it suitable for adaptation beyond the one allotment society and could make this a viable product.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