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5B6EC696" w14:textId="2375B2B8" w:rsidR="00FE652F" w:rsidRPr="006347CF" w:rsidRDefault="00BA7494" w:rsidP="00FE652F">
      <w:pPr>
        <w:pStyle w:val="Author"/>
        <w:spacing w:before="100" w:beforeAutospacing="1"/>
        <w:rPr>
          <w:sz w:val="18"/>
          <w:szCs w:val="18"/>
        </w:rPr>
        <w:sectPr w:rsidR="00FE652F" w:rsidRPr="006347CF" w:rsidSect="001664DD">
          <w:type w:val="continuous"/>
          <w:pgSz w:w="12240" w:h="15840" w:code="1"/>
          <w:pgMar w:top="1080" w:right="893" w:bottom="1440" w:left="893" w:header="720" w:footer="720" w:gutter="0"/>
          <w:cols w:num="2" w:space="216"/>
          <w:docGrid w:linePitch="360"/>
        </w:sectPr>
      </w:pPr>
      <w:r>
        <w:rPr>
          <w:sz w:val="18"/>
          <w:szCs w:val="18"/>
        </w:rPr>
        <w:t>Alexander He</w:t>
      </w:r>
      <w:r w:rsidR="00FE652F" w:rsidRPr="00F847A6">
        <w:rPr>
          <w:sz w:val="18"/>
          <w:szCs w:val="18"/>
        </w:rPr>
        <w:t xml:space="preserve"> </w:t>
      </w:r>
      <w:r w:rsidR="00FE652F" w:rsidRPr="00F847A6">
        <w:rPr>
          <w:sz w:val="18"/>
          <w:szCs w:val="18"/>
        </w:rPr>
        <w:br/>
      </w:r>
      <w:r>
        <w:rPr>
          <w:sz w:val="18"/>
          <w:szCs w:val="18"/>
        </w:rPr>
        <w:t>Information Technology and Web Science</w:t>
      </w:r>
      <w:r w:rsidR="00FE652F" w:rsidRPr="00F847A6">
        <w:rPr>
          <w:sz w:val="18"/>
          <w:szCs w:val="18"/>
        </w:rPr>
        <w:br/>
      </w:r>
      <w:r>
        <w:rPr>
          <w:sz w:val="18"/>
          <w:szCs w:val="18"/>
        </w:rPr>
        <w:t>Rensselaer Polytechnic Institute</w:t>
      </w:r>
      <w:r w:rsidR="00FE652F" w:rsidRPr="00F847A6">
        <w:rPr>
          <w:i/>
          <w:sz w:val="18"/>
          <w:szCs w:val="18"/>
        </w:rPr>
        <w:br/>
      </w:r>
      <w:r>
        <w:rPr>
          <w:sz w:val="18"/>
          <w:szCs w:val="18"/>
        </w:rPr>
        <w:t>Troy, NY, USA</w:t>
      </w:r>
      <w:r w:rsidR="00FE652F" w:rsidRPr="00F847A6">
        <w:rPr>
          <w:sz w:val="18"/>
          <w:szCs w:val="18"/>
        </w:rPr>
        <w:br/>
      </w:r>
      <w:r>
        <w:rPr>
          <w:sz w:val="18"/>
          <w:szCs w:val="18"/>
        </w:rPr>
        <w:t>hea2@rpi.edu</w:t>
      </w:r>
      <w:r w:rsidR="00FE652F">
        <w:rPr>
          <w:sz w:val="18"/>
          <w:szCs w:val="18"/>
        </w:rPr>
        <w:br/>
      </w:r>
      <w:r>
        <w:rPr>
          <w:sz w:val="18"/>
          <w:szCs w:val="18"/>
        </w:rPr>
        <w:t>Thilanka Munasinghe</w:t>
      </w:r>
      <w:r w:rsidR="00FE652F" w:rsidRPr="00F847A6">
        <w:rPr>
          <w:sz w:val="18"/>
          <w:szCs w:val="18"/>
        </w:rPr>
        <w:br/>
      </w:r>
      <w:r>
        <w:rPr>
          <w:sz w:val="18"/>
          <w:szCs w:val="18"/>
        </w:rPr>
        <w:t>Information Technology and Web Science</w:t>
      </w:r>
      <w:r w:rsidR="00FE652F" w:rsidRPr="00F847A6">
        <w:rPr>
          <w:sz w:val="18"/>
          <w:szCs w:val="18"/>
        </w:rPr>
        <w:br/>
      </w:r>
      <w:r>
        <w:rPr>
          <w:sz w:val="18"/>
          <w:szCs w:val="18"/>
        </w:rPr>
        <w:t>Rensselaer Polytechnic Institute</w:t>
      </w:r>
      <w:r w:rsidR="00FE652F" w:rsidRPr="00F847A6">
        <w:rPr>
          <w:i/>
          <w:sz w:val="18"/>
          <w:szCs w:val="18"/>
        </w:rPr>
        <w:br/>
      </w:r>
      <w:r>
        <w:rPr>
          <w:sz w:val="18"/>
          <w:szCs w:val="18"/>
        </w:rPr>
        <w:t>Troy, NY, USA</w:t>
      </w:r>
      <w:r w:rsidR="00FE652F" w:rsidRPr="00F847A6">
        <w:rPr>
          <w:sz w:val="18"/>
          <w:szCs w:val="18"/>
        </w:rPr>
        <w:br/>
      </w:r>
      <w:r>
        <w:rPr>
          <w:sz w:val="18"/>
          <w:szCs w:val="18"/>
        </w:rPr>
        <w:t>munast@rpi.edu</w:t>
      </w:r>
      <w:r w:rsidR="00FE652F">
        <w:rPr>
          <w:sz w:val="18"/>
          <w:szCs w:val="18"/>
        </w:rPr>
        <w:br/>
      </w: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1"/>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31ECC701"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Tobacco, air pollutants, airborne allergens, and occupational exposures are the main risk factors associated with a lifetime increase of respiratory diseases and symptoms, according to reviews [3</w:t>
      </w:r>
      <w:r w:rsidR="00E07BAA">
        <w:rPr>
          <w:rFonts w:eastAsia="Times New Roman"/>
        </w:rPr>
        <w:t>,</w:t>
      </w:r>
      <w:r w:rsidRPr="008D4344">
        <w:rPr>
          <w:rFonts w:eastAsia="Times New Roman"/>
        </w:rPr>
        <w:t>4]. Previous studies have also established that temperature and humidity play a role in respiratory disease exacerbation [5</w:t>
      </w:r>
      <w:r w:rsidR="00E07BAA">
        <w:rPr>
          <w:rFonts w:eastAsia="Times New Roman"/>
        </w:rPr>
        <w:t>,</w:t>
      </w:r>
      <w:r w:rsidRPr="008D4344">
        <w:rPr>
          <w:rFonts w:eastAsia="Times New Roman"/>
        </w:rPr>
        <w:t xml:space="preserve">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wildfire emissions and longer pollen seasons. However, due </w:t>
      </w:r>
      <w:r w:rsidR="008D4344" w:rsidRPr="008D4344">
        <w:rPr>
          <w:rFonts w:eastAsia="Times New Roman"/>
        </w:rPr>
        <w:t xml:space="preserve">to limited datasets on a national, county-level scale, we are constrained to environmental factors, particularly air pollutants and climate variables, provided as datasets constructed with remote sensing. </w:t>
      </w:r>
    </w:p>
    <w:p w14:paraId="132F6EE6" w14:textId="639B3A31"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and demographics [10]. The data is subject to suppression </w:t>
      </w:r>
      <w:r w:rsidR="008D4344" w:rsidRPr="008D4344">
        <w:rPr>
          <w:rFonts w:eastAsia="Times New Roman"/>
        </w:rPr>
        <w:lastRenderedPageBreak/>
        <w:t>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8" w14:textId="77777777" w:rsidR="00955314" w:rsidRPr="001F0CF1" w:rsidRDefault="00B85D7E" w:rsidP="00E82575">
      <w:pPr>
        <w:pStyle w:val="Heading2"/>
      </w:pPr>
      <w:r w:rsidRPr="001F0CF1">
        <w:t>Population and Median Income</w:t>
      </w:r>
    </w:p>
    <w:p w14:paraId="2CA9F82A" w14:textId="1086DC1E"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population by county are available at </w:t>
      </w:r>
      <w:r w:rsidR="008610DF">
        <w:rPr>
          <w:rFonts w:eastAsia="Times New Roman"/>
          <w:color w:val="000000"/>
        </w:rPr>
        <w:t>[17]</w:t>
      </w:r>
      <w:r w:rsidRPr="004C40D7">
        <w:rPr>
          <w:rFonts w:eastAsia="Times New Roman"/>
          <w:color w:val="000000"/>
        </w:rPr>
        <w:t xml:space="preserve"> under the “Population Estimates” filter. Population estimates of each year are for July 1st. We opted to apply the July 1st estimates for the entire month of July, then linearly interpolate the months in between.</w:t>
      </w:r>
    </w:p>
    <w:p w14:paraId="01C17A11" w14:textId="20B7172F"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w:t>
      </w:r>
      <w:r w:rsidR="008610DF">
        <w:rPr>
          <w:rFonts w:eastAsia="Times New Roman"/>
          <w:color w:val="000000"/>
        </w:rPr>
        <w:t>[18]</w:t>
      </w:r>
      <w:r w:rsidRPr="004C40D7">
        <w:rPr>
          <w:rFonts w:eastAsia="Times New Roman"/>
          <w:color w:val="000000"/>
        </w:rPr>
        <w:t xml:space="preserve">.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757489A8"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w:t>
      </w:r>
      <w:r w:rsidR="008610DF">
        <w:rPr>
          <w:rFonts w:eastAsia="Times New Roman"/>
          <w:color w:val="000000"/>
        </w:rPr>
        <w:t>[19]</w:t>
      </w:r>
      <w:r w:rsidR="004C40D7" w:rsidRPr="004C40D7">
        <w:rPr>
          <w:rFonts w:eastAsia="Times New Roman"/>
          <w:color w:val="000000"/>
        </w:rPr>
        <w:t>. We extracted data for temperature, precipitation, and drought indices to best represent environmental factors described in [5</w:t>
      </w:r>
      <w:r w:rsidR="00E07BAA">
        <w:rPr>
          <w:rFonts w:eastAsia="Times New Roman"/>
          <w:color w:val="000000"/>
        </w:rPr>
        <w:t>,</w:t>
      </w:r>
      <w:r w:rsidR="004C40D7" w:rsidRPr="004C40D7">
        <w:rPr>
          <w:rFonts w:eastAsia="Times New Roman"/>
          <w:color w:val="000000"/>
        </w:rPr>
        <w:t>6</w:t>
      </w:r>
      <w:r w:rsidR="00E07BAA">
        <w:rPr>
          <w:rFonts w:eastAsia="Times New Roman"/>
          <w:color w:val="000000"/>
        </w:rPr>
        <w:t>,</w:t>
      </w:r>
      <w:r w:rsidR="008610DF">
        <w:rPr>
          <w:rFonts w:eastAsia="Times New Roman"/>
          <w:color w:val="000000"/>
        </w:rPr>
        <w:t>20</w:t>
      </w:r>
      <w:r w:rsidR="00E07BAA">
        <w:rPr>
          <w:rFonts w:eastAsia="Times New Roman"/>
          <w:color w:val="000000"/>
        </w:rPr>
        <w:t>,</w:t>
      </w:r>
      <w:r w:rsidR="008610DF">
        <w:rPr>
          <w:rFonts w:eastAsia="Times New Roman"/>
          <w:color w:val="000000"/>
        </w:rPr>
        <w:t>21</w:t>
      </w:r>
      <w:r w:rsidR="004C40D7" w:rsidRPr="004C40D7">
        <w:rPr>
          <w:rFonts w:eastAsia="Times New Roman"/>
          <w:color w:val="000000"/>
        </w:rPr>
        <w:t xml:space="preserve">]. The included drought indices are Palmer Drought Severity Index </w:t>
      </w:r>
      <w:r w:rsidR="008610DF">
        <w:rPr>
          <w:rFonts w:eastAsia="Times New Roman"/>
          <w:color w:val="000000"/>
        </w:rPr>
        <w:t>[22</w:t>
      </w:r>
      <w:r w:rsidR="004C40D7" w:rsidRPr="004C40D7">
        <w:rPr>
          <w:rFonts w:eastAsia="Times New Roman"/>
          <w:color w:val="000000"/>
        </w:rPr>
        <w:t xml:space="preserve">] (PDSI) and monthly Standardized Precipitation Index </w:t>
      </w:r>
      <w:r w:rsidR="008610DF">
        <w:rPr>
          <w:rFonts w:eastAsia="Times New Roman"/>
          <w:color w:val="000000"/>
        </w:rPr>
        <w:t>[23</w:t>
      </w:r>
      <w:r w:rsidR="004C40D7" w:rsidRPr="004C40D7">
        <w:rPr>
          <w:rFonts w:eastAsia="Times New Roman"/>
          <w:color w:val="000000"/>
        </w:rPr>
        <w:t xml:space="preserve">] (monthly SPI; SP01). Unfortunately, the database does not have data for humidity, </w:t>
      </w:r>
      <w:r w:rsidR="004C40D7" w:rsidRPr="004C40D7">
        <w:rPr>
          <w:rFonts w:eastAsia="Times New Roman"/>
          <w:color w:val="000000"/>
        </w:rPr>
        <w:t xml:space="preserve">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1B6C17CA"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w:t>
      </w:r>
      <w:r w:rsidR="008610DF">
        <w:rPr>
          <w:rFonts w:eastAsia="Times New Roman"/>
          <w:color w:val="000000"/>
        </w:rPr>
        <w:t>[24</w:t>
      </w:r>
      <w:r w:rsidR="004C40D7" w:rsidRPr="004C40D7">
        <w:rPr>
          <w:rFonts w:eastAsia="Times New Roman"/>
          <w:color w:val="000000"/>
        </w:rPr>
        <w:t xml:space="preserve">].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w:t>
      </w:r>
      <w:r w:rsidR="008610DF">
        <w:rPr>
          <w:rFonts w:eastAsia="Times New Roman"/>
          <w:color w:val="000000"/>
        </w:rPr>
        <w:t>[25</w:t>
      </w:r>
      <w:r w:rsidR="004C40D7" w:rsidRPr="004C40D7">
        <w:rPr>
          <w:rFonts w:eastAsia="Times New Roman"/>
          <w:color w:val="000000"/>
        </w:rPr>
        <w:t>].</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51DC257A"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SciKit Learn’s function for random forest regression </w:t>
      </w:r>
      <w:r w:rsidR="008610DF">
        <w:rPr>
          <w:rFonts w:eastAsia="Times New Roman"/>
          <w:color w:val="000000"/>
        </w:rPr>
        <w:t>[26</w:t>
      </w:r>
      <w:r w:rsidR="00E87571" w:rsidRPr="00E87571">
        <w:rPr>
          <w:rFonts w:eastAsia="Times New Roman"/>
          <w:color w:val="000000"/>
        </w:rPr>
        <w:t xml:space="preserve">]. Similar to the use of monthly lagged values of climate variables in </w:t>
      </w:r>
      <w:r w:rsidR="008610DF">
        <w:rPr>
          <w:rFonts w:eastAsia="Times New Roman"/>
          <w:color w:val="000000"/>
        </w:rPr>
        <w:t>[27</w:t>
      </w:r>
      <w:r w:rsidR="00E87571" w:rsidRPr="00E87571">
        <w:rPr>
          <w:rFonts w:eastAsia="Times New Roman"/>
          <w:color w:val="000000"/>
        </w:rPr>
        <w:t xml:space="preserve">],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4A32AC8A"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SciKit Learn’s Recursive Feature Elimination and Cross-Validated selection (RFECV) function </w:t>
      </w:r>
      <w:r w:rsidR="008610DF">
        <w:rPr>
          <w:rFonts w:eastAsia="Times New Roman"/>
          <w:color w:val="000000"/>
        </w:rPr>
        <w:t>[28</w:t>
      </w:r>
      <w:r w:rsidR="004C7E39" w:rsidRPr="004C7E39">
        <w:rPr>
          <w:rFonts w:eastAsia="Times New Roman"/>
          <w:color w:val="000000"/>
        </w:rPr>
        <w:t>].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SciKit Learn’s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w:t>
      </w:r>
      <w:r w:rsidR="008610DF">
        <w:rPr>
          <w:rFonts w:eastAsia="Times New Roman"/>
          <w:color w:val="000000"/>
        </w:rPr>
        <w:t>[28</w:t>
      </w:r>
      <w:r w:rsidR="00E07BAA">
        <w:rPr>
          <w:rFonts w:eastAsia="Times New Roman"/>
          <w:color w:val="000000"/>
        </w:rPr>
        <w:t>,</w:t>
      </w:r>
      <w:r w:rsidR="008610DF">
        <w:rPr>
          <w:rFonts w:eastAsia="Times New Roman"/>
          <w:color w:val="000000"/>
        </w:rPr>
        <w:t>29</w:t>
      </w:r>
      <w:r w:rsidR="009A1929" w:rsidRPr="009A1929">
        <w:rPr>
          <w:rFonts w:eastAsia="Times New Roman"/>
          <w:color w:val="000000"/>
        </w:rPr>
        <w:t xml:space="preserve">].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6F715627"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r w:rsidR="000E7D9F" w:rsidRPr="00684365">
        <w:rPr>
          <w:rFonts w:eastAsia="Times New Roman"/>
          <w:color w:val="000000"/>
        </w:rPr>
        <w:t xml:space="preserve">SciKit Learn’s </w:t>
      </w:r>
      <w:r w:rsidR="00F80453">
        <w:rPr>
          <w:rFonts w:eastAsia="Times New Roman"/>
          <w:color w:val="000000"/>
        </w:rPr>
        <w:t>‘</w:t>
      </w:r>
      <w:r w:rsidR="00F80453" w:rsidRPr="00684365">
        <w:rPr>
          <w:rFonts w:eastAsia="Times New Roman"/>
          <w:color w:val="000000"/>
        </w:rPr>
        <w:t>GridSearchCV</w:t>
      </w:r>
      <w:r w:rsidR="00F80453">
        <w:rPr>
          <w:rFonts w:eastAsia="Times New Roman"/>
          <w:color w:val="000000"/>
        </w:rPr>
        <w:t xml:space="preserve">’ </w:t>
      </w:r>
      <w:r w:rsidR="009A1929" w:rsidRPr="009A1929">
        <w:rPr>
          <w:rFonts w:eastAsia="Times New Roman"/>
          <w:color w:val="000000"/>
        </w:rPr>
        <w:t xml:space="preserve">function </w:t>
      </w:r>
      <w:r w:rsidR="008610DF">
        <w:rPr>
          <w:rFonts w:eastAsia="Times New Roman"/>
          <w:color w:val="000000"/>
        </w:rPr>
        <w:t>[30</w:t>
      </w:r>
      <w:r w:rsidR="009A1929" w:rsidRPr="009A1929">
        <w:rPr>
          <w:rFonts w:eastAsia="Times New Roman"/>
          <w:color w:val="000000"/>
        </w:rPr>
        <w:t xml:space="preserve">], which tests specified combinations of values for hyperparameters. The tuned hyperparameters for random forest regression are listed in Table I and are described in the documentation </w:t>
      </w:r>
      <w:r w:rsidR="008610DF">
        <w:rPr>
          <w:rFonts w:eastAsia="Times New Roman"/>
          <w:color w:val="000000"/>
        </w:rPr>
        <w:t>[26</w:t>
      </w:r>
      <w:r w:rsidR="009A1929" w:rsidRPr="009A1929">
        <w:rPr>
          <w:rFonts w:eastAsia="Times New Roman"/>
          <w:color w:val="000000"/>
        </w:rPr>
        <w:t xml:space="preserve">].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7628160"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‘scipy.stats.spearmanr’ function </w:t>
      </w:r>
      <w:r w:rsidR="008610DF">
        <w:rPr>
          <w:rFonts w:eastAsia="Times New Roman"/>
        </w:rPr>
        <w:t>[16</w:t>
      </w:r>
      <w:r w:rsidR="00E07BAA">
        <w:rPr>
          <w:rFonts w:eastAsia="Times New Roman"/>
        </w:rPr>
        <w:t>,</w:t>
      </w:r>
      <w:r w:rsidR="008610DF">
        <w:rPr>
          <w:rFonts w:eastAsia="Times New Roman"/>
        </w:rPr>
        <w:t>31</w:t>
      </w:r>
      <w:r w:rsidR="000374AD" w:rsidRPr="000374AD">
        <w:rPr>
          <w:rFonts w:eastAsia="Times New Roman"/>
        </w:rPr>
        <w:t xml:space="preserve">].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95C44">
        <w:rPr>
          <w:rFonts w:eastAsia="Times New Roman"/>
          <w:color w:val="000000"/>
        </w:rPr>
        <w:t>Fig. 6</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8610DF">
        <w:rPr>
          <w:rFonts w:eastAsia="Times New Roman"/>
          <w:color w:val="000000"/>
        </w:rPr>
        <w:t>[32</w:t>
      </w:r>
      <w:r w:rsidR="000374AD" w:rsidRPr="000374AD">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6909FF30"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eature Importance</w:t>
      </w:r>
      <w:r w:rsidR="00387034">
        <w:rPr>
          <w:rFonts w:eastAsia="Times New Roman"/>
          <w:color w:val="000000"/>
        </w:rPr>
        <w:t>s</w:t>
      </w:r>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624CA3FC" w14:textId="061E2C52" w:rsidR="008A639F" w:rsidRDefault="00482546" w:rsidP="00DD7DCA">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r w:rsidR="008A639F">
        <w:br w:type="page"/>
      </w:r>
    </w:p>
    <w:p w14:paraId="5D4807F9" w14:textId="77777777" w:rsidR="00C0144B" w:rsidRPr="00C90566" w:rsidRDefault="00C0144B" w:rsidP="00C0144B">
      <w:pPr>
        <w:pStyle w:val="tablehead"/>
      </w:pPr>
      <w:r>
        <w:lastRenderedPageBreak/>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C0144B" w:rsidRPr="00C90566" w14:paraId="4E0906E4" w14:textId="77777777" w:rsidTr="00D011C2">
        <w:trPr>
          <w:trHeight w:val="192"/>
        </w:trPr>
        <w:tc>
          <w:tcPr>
            <w:tcW w:w="1525" w:type="dxa"/>
          </w:tcPr>
          <w:p w14:paraId="2F66C183" w14:textId="77777777" w:rsidR="00C0144B" w:rsidRDefault="00C0144B" w:rsidP="00D011C2">
            <w:pPr>
              <w:pStyle w:val="tablecolhead"/>
            </w:pPr>
            <w:r>
              <w:t>N</w:t>
            </w:r>
            <w:r w:rsidRPr="00C90566">
              <w:t>ame</w:t>
            </w:r>
          </w:p>
        </w:tc>
        <w:tc>
          <w:tcPr>
            <w:tcW w:w="1170" w:type="dxa"/>
          </w:tcPr>
          <w:p w14:paraId="141A8134" w14:textId="77777777" w:rsidR="00C0144B" w:rsidRDefault="00C0144B" w:rsidP="00D011C2">
            <w:pPr>
              <w:pStyle w:val="tablecolhead"/>
            </w:pPr>
            <w:r>
              <w:t>Before RFECV (based on cross-validation R</w:t>
            </w:r>
            <w:r>
              <w:rPr>
                <w:vertAlign w:val="superscript"/>
              </w:rPr>
              <w:t>2</w:t>
            </w:r>
            <w:r>
              <w:t>)</w:t>
            </w:r>
          </w:p>
        </w:tc>
        <w:tc>
          <w:tcPr>
            <w:tcW w:w="1170" w:type="dxa"/>
          </w:tcPr>
          <w:p w14:paraId="57DB6DB9" w14:textId="77777777" w:rsidR="00C0144B" w:rsidRPr="00C90566" w:rsidRDefault="00C0144B" w:rsidP="00D011C2">
            <w:pPr>
              <w:pStyle w:val="tablecolhead"/>
            </w:pPr>
            <w:r>
              <w:t>After RFECV (based on cross-validation R</w:t>
            </w:r>
            <w:r>
              <w:rPr>
                <w:vertAlign w:val="superscript"/>
              </w:rPr>
              <w:t>2</w:t>
            </w:r>
            <w:r>
              <w:t>)</w:t>
            </w:r>
          </w:p>
        </w:tc>
        <w:tc>
          <w:tcPr>
            <w:tcW w:w="990" w:type="dxa"/>
          </w:tcPr>
          <w:p w14:paraId="180D3723" w14:textId="77777777" w:rsidR="00C0144B" w:rsidRDefault="00C0144B" w:rsidP="00D011C2">
            <w:pPr>
              <w:pStyle w:val="tablecolhead"/>
            </w:pPr>
            <w:r>
              <w:t>After RFECV (based on prediction R</w:t>
            </w:r>
            <w:r>
              <w:rPr>
                <w:vertAlign w:val="superscript"/>
              </w:rPr>
              <w:t>2</w:t>
            </w:r>
            <w:r>
              <w:t>)</w:t>
            </w:r>
          </w:p>
        </w:tc>
      </w:tr>
      <w:tr w:rsidR="00C0144B" w:rsidRPr="00C90566" w14:paraId="53212C47" w14:textId="77777777" w:rsidTr="00D011C2">
        <w:trPr>
          <w:trHeight w:val="54"/>
        </w:trPr>
        <w:tc>
          <w:tcPr>
            <w:tcW w:w="1525" w:type="dxa"/>
          </w:tcPr>
          <w:p w14:paraId="4B5A361D" w14:textId="77777777" w:rsidR="00C0144B" w:rsidRPr="00C90566" w:rsidRDefault="00C0144B" w:rsidP="00D011C2">
            <w:pPr>
              <w:pStyle w:val="tablecopy"/>
              <w:jc w:val="left"/>
            </w:pPr>
            <w:r w:rsidRPr="00C90566">
              <w:t>n_estimators</w:t>
            </w:r>
          </w:p>
        </w:tc>
        <w:tc>
          <w:tcPr>
            <w:tcW w:w="1170" w:type="dxa"/>
          </w:tcPr>
          <w:p w14:paraId="5EDAD5D8" w14:textId="77777777" w:rsidR="00C0144B" w:rsidRPr="00C90566" w:rsidRDefault="00C0144B" w:rsidP="00D011C2">
            <w:pPr>
              <w:pStyle w:val="tablecopy"/>
              <w:jc w:val="left"/>
            </w:pPr>
            <w:r>
              <w:t>140</w:t>
            </w:r>
          </w:p>
        </w:tc>
        <w:tc>
          <w:tcPr>
            <w:tcW w:w="1170" w:type="dxa"/>
          </w:tcPr>
          <w:p w14:paraId="0C4A9B1C" w14:textId="77777777" w:rsidR="00C0144B" w:rsidRPr="00C90566" w:rsidRDefault="00C0144B" w:rsidP="00D011C2">
            <w:pPr>
              <w:pStyle w:val="tablecopy"/>
              <w:jc w:val="left"/>
            </w:pPr>
            <w:r w:rsidRPr="00C90566">
              <w:t>140</w:t>
            </w:r>
          </w:p>
        </w:tc>
        <w:tc>
          <w:tcPr>
            <w:tcW w:w="990" w:type="dxa"/>
          </w:tcPr>
          <w:p w14:paraId="252D3A45" w14:textId="77777777" w:rsidR="00C0144B" w:rsidRPr="00C90566" w:rsidRDefault="00C0144B" w:rsidP="00D011C2">
            <w:pPr>
              <w:pStyle w:val="tablecopy"/>
              <w:jc w:val="left"/>
            </w:pPr>
            <w:r>
              <w:t>140</w:t>
            </w:r>
          </w:p>
        </w:tc>
      </w:tr>
      <w:tr w:rsidR="00C0144B" w:rsidRPr="00C90566" w14:paraId="3956580B" w14:textId="77777777" w:rsidTr="00D011C2">
        <w:trPr>
          <w:trHeight w:val="54"/>
        </w:trPr>
        <w:tc>
          <w:tcPr>
            <w:tcW w:w="1525" w:type="dxa"/>
          </w:tcPr>
          <w:p w14:paraId="3AAC7703" w14:textId="77777777" w:rsidR="00C0144B" w:rsidRPr="00C90566" w:rsidRDefault="00C0144B" w:rsidP="00D011C2">
            <w:pPr>
              <w:pStyle w:val="tablecopy"/>
              <w:jc w:val="left"/>
            </w:pPr>
            <w:r w:rsidRPr="00C90566">
              <w:t>max_samples</w:t>
            </w:r>
          </w:p>
        </w:tc>
        <w:tc>
          <w:tcPr>
            <w:tcW w:w="1170" w:type="dxa"/>
          </w:tcPr>
          <w:p w14:paraId="055E720E" w14:textId="77777777" w:rsidR="00C0144B" w:rsidRPr="00C90566" w:rsidRDefault="00C0144B" w:rsidP="00D011C2">
            <w:pPr>
              <w:pStyle w:val="tablecopy"/>
              <w:jc w:val="left"/>
            </w:pPr>
            <w:r>
              <w:t>0.1</w:t>
            </w:r>
          </w:p>
        </w:tc>
        <w:tc>
          <w:tcPr>
            <w:tcW w:w="1170" w:type="dxa"/>
          </w:tcPr>
          <w:p w14:paraId="134A2CE6" w14:textId="77777777" w:rsidR="00C0144B" w:rsidRPr="00C90566" w:rsidRDefault="00C0144B" w:rsidP="00D011C2">
            <w:pPr>
              <w:pStyle w:val="tablecopy"/>
              <w:jc w:val="left"/>
            </w:pPr>
            <w:r w:rsidRPr="00C90566">
              <w:t>0.</w:t>
            </w:r>
            <w:r>
              <w:t>7</w:t>
            </w:r>
          </w:p>
        </w:tc>
        <w:tc>
          <w:tcPr>
            <w:tcW w:w="990" w:type="dxa"/>
          </w:tcPr>
          <w:p w14:paraId="1FA934AB" w14:textId="77777777" w:rsidR="00C0144B" w:rsidRPr="00C90566" w:rsidRDefault="00C0144B" w:rsidP="00D011C2">
            <w:pPr>
              <w:pStyle w:val="tablecopy"/>
              <w:jc w:val="left"/>
            </w:pPr>
            <w:r w:rsidRPr="00C90566">
              <w:t>0.</w:t>
            </w:r>
            <w:r>
              <w:t>6</w:t>
            </w:r>
          </w:p>
        </w:tc>
      </w:tr>
      <w:tr w:rsidR="00C0144B" w:rsidRPr="00C90566" w14:paraId="5AF9D402" w14:textId="77777777" w:rsidTr="00D011C2">
        <w:trPr>
          <w:trHeight w:val="116"/>
        </w:trPr>
        <w:tc>
          <w:tcPr>
            <w:tcW w:w="1525" w:type="dxa"/>
          </w:tcPr>
          <w:p w14:paraId="407C6242" w14:textId="77777777" w:rsidR="00C0144B" w:rsidRPr="00C90566" w:rsidRDefault="00C0144B" w:rsidP="00D011C2">
            <w:pPr>
              <w:pStyle w:val="tablecopy"/>
              <w:jc w:val="left"/>
            </w:pPr>
            <w:r w:rsidRPr="00C90566">
              <w:t>min_impurity_decrease</w:t>
            </w:r>
            <w:r>
              <w:t xml:space="preserve"> </w:t>
            </w:r>
            <w:r w:rsidRPr="002674E8">
              <w:rPr>
                <w:vertAlign w:val="superscript"/>
              </w:rPr>
              <w:t>a</w:t>
            </w:r>
          </w:p>
        </w:tc>
        <w:tc>
          <w:tcPr>
            <w:tcW w:w="1170" w:type="dxa"/>
          </w:tcPr>
          <w:p w14:paraId="7ED243A8" w14:textId="77777777" w:rsidR="00C0144B" w:rsidRDefault="00C0144B" w:rsidP="00D011C2">
            <w:pPr>
              <w:pStyle w:val="tablecopy"/>
              <w:jc w:val="left"/>
              <w:rPr>
                <w:color w:val="000000"/>
              </w:rPr>
            </w:pPr>
            <w:r>
              <w:rPr>
                <w:color w:val="000000"/>
              </w:rPr>
              <w:t>0</w:t>
            </w:r>
          </w:p>
        </w:tc>
        <w:tc>
          <w:tcPr>
            <w:tcW w:w="1170" w:type="dxa"/>
          </w:tcPr>
          <w:p w14:paraId="637A8162" w14:textId="77777777" w:rsidR="00C0144B" w:rsidRPr="00BD3DBB" w:rsidRDefault="00C0144B" w:rsidP="00D011C2">
            <w:pPr>
              <w:pStyle w:val="tablecopy"/>
              <w:jc w:val="left"/>
            </w:pPr>
            <w:r>
              <w:t>5.5E-8</w:t>
            </w:r>
          </w:p>
        </w:tc>
        <w:tc>
          <w:tcPr>
            <w:tcW w:w="990" w:type="dxa"/>
          </w:tcPr>
          <w:p w14:paraId="6DC28875" w14:textId="77777777" w:rsidR="00C0144B" w:rsidRPr="00BD3DBB" w:rsidRDefault="00C0144B" w:rsidP="00D011C2">
            <w:pPr>
              <w:pStyle w:val="tablecopy"/>
              <w:jc w:val="left"/>
            </w:pPr>
            <w:r>
              <w:t>3.5E-8</w:t>
            </w:r>
          </w:p>
        </w:tc>
      </w:tr>
      <w:tr w:rsidR="00C0144B" w:rsidRPr="00C90566" w14:paraId="628F7F46" w14:textId="77777777" w:rsidTr="00D011C2">
        <w:trPr>
          <w:trHeight w:val="54"/>
        </w:trPr>
        <w:tc>
          <w:tcPr>
            <w:tcW w:w="1525" w:type="dxa"/>
          </w:tcPr>
          <w:p w14:paraId="3D4732F5" w14:textId="77777777" w:rsidR="00C0144B" w:rsidRPr="00C90566" w:rsidRDefault="00C0144B" w:rsidP="00D011C2">
            <w:pPr>
              <w:pStyle w:val="tablecopy"/>
              <w:jc w:val="left"/>
            </w:pPr>
            <w:r w:rsidRPr="00C90566">
              <w:t>min_samples_leaf</w:t>
            </w:r>
          </w:p>
        </w:tc>
        <w:tc>
          <w:tcPr>
            <w:tcW w:w="1170" w:type="dxa"/>
          </w:tcPr>
          <w:p w14:paraId="6F7ABFDC" w14:textId="77777777" w:rsidR="00C0144B" w:rsidRPr="00C90566" w:rsidRDefault="00C0144B" w:rsidP="00D011C2">
            <w:pPr>
              <w:pStyle w:val="tablecopy"/>
              <w:jc w:val="left"/>
            </w:pPr>
            <w:r>
              <w:t>2</w:t>
            </w:r>
          </w:p>
        </w:tc>
        <w:tc>
          <w:tcPr>
            <w:tcW w:w="1170" w:type="dxa"/>
          </w:tcPr>
          <w:p w14:paraId="531F597A" w14:textId="77777777" w:rsidR="00C0144B" w:rsidRPr="00C90566" w:rsidRDefault="00C0144B" w:rsidP="00D011C2">
            <w:pPr>
              <w:pStyle w:val="tablecopy"/>
              <w:jc w:val="left"/>
            </w:pPr>
            <w:r>
              <w:t>3</w:t>
            </w:r>
          </w:p>
        </w:tc>
        <w:tc>
          <w:tcPr>
            <w:tcW w:w="990" w:type="dxa"/>
          </w:tcPr>
          <w:p w14:paraId="74B86F37" w14:textId="77777777" w:rsidR="00C0144B" w:rsidRPr="00C90566" w:rsidRDefault="00C0144B" w:rsidP="00D011C2">
            <w:pPr>
              <w:pStyle w:val="tablecopy"/>
              <w:jc w:val="left"/>
            </w:pPr>
            <w:r>
              <w:t>2</w:t>
            </w:r>
          </w:p>
        </w:tc>
      </w:tr>
      <w:tr w:rsidR="00C0144B" w:rsidRPr="00C90566" w14:paraId="105D7884" w14:textId="77777777" w:rsidTr="00D011C2">
        <w:trPr>
          <w:trHeight w:val="54"/>
        </w:trPr>
        <w:tc>
          <w:tcPr>
            <w:tcW w:w="1525" w:type="dxa"/>
          </w:tcPr>
          <w:p w14:paraId="361288A8" w14:textId="77777777" w:rsidR="00C0144B" w:rsidRPr="00C90566" w:rsidRDefault="00C0144B" w:rsidP="00D011C2">
            <w:pPr>
              <w:pStyle w:val="tablecopy"/>
              <w:jc w:val="left"/>
            </w:pPr>
            <w:r w:rsidRPr="00C90566">
              <w:t>min_samples_split</w:t>
            </w:r>
          </w:p>
        </w:tc>
        <w:tc>
          <w:tcPr>
            <w:tcW w:w="1170" w:type="dxa"/>
          </w:tcPr>
          <w:p w14:paraId="001161E9" w14:textId="77777777" w:rsidR="00C0144B" w:rsidRPr="00C90566" w:rsidRDefault="00C0144B" w:rsidP="00D011C2">
            <w:pPr>
              <w:pStyle w:val="tablecopy"/>
              <w:jc w:val="left"/>
            </w:pPr>
            <w:r>
              <w:t>4</w:t>
            </w:r>
          </w:p>
        </w:tc>
        <w:tc>
          <w:tcPr>
            <w:tcW w:w="1170" w:type="dxa"/>
          </w:tcPr>
          <w:p w14:paraId="35E5E90F" w14:textId="77777777" w:rsidR="00C0144B" w:rsidRPr="00C90566" w:rsidRDefault="00C0144B" w:rsidP="00D011C2">
            <w:pPr>
              <w:pStyle w:val="tablecopy"/>
              <w:jc w:val="left"/>
            </w:pPr>
            <w:r>
              <w:t>8</w:t>
            </w:r>
          </w:p>
        </w:tc>
        <w:tc>
          <w:tcPr>
            <w:tcW w:w="990" w:type="dxa"/>
          </w:tcPr>
          <w:p w14:paraId="502AADE1" w14:textId="77777777" w:rsidR="00C0144B" w:rsidRPr="00C90566" w:rsidRDefault="00C0144B" w:rsidP="00D011C2">
            <w:pPr>
              <w:pStyle w:val="tablecopy"/>
              <w:jc w:val="left"/>
            </w:pPr>
            <w:r>
              <w:t>9</w:t>
            </w:r>
          </w:p>
        </w:tc>
      </w:tr>
    </w:tbl>
    <w:p w14:paraId="6CE52961" w14:textId="77777777" w:rsidR="00C0144B" w:rsidRPr="001664DD" w:rsidRDefault="00C0144B" w:rsidP="00C0144B">
      <w:pPr>
        <w:pStyle w:val="tablefootnote"/>
        <w:rPr>
          <w:rFonts w:eastAsia="Times New Roman"/>
          <w:color w:val="000000"/>
        </w:rPr>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min_impurity_decrease below</w:t>
      </w:r>
      <w:r>
        <w:t xml:space="preserve"> 5.0E-7</w:t>
      </w:r>
      <w:r w:rsidRPr="00684365">
        <w:rPr>
          <w:rFonts w:eastAsia="Times New Roman"/>
          <w:color w:val="000000"/>
        </w:rPr>
        <w:t xml:space="preserve"> intervals. Simply using 0 is very close to optimal. </w:t>
      </w:r>
      <w:r w:rsidRPr="00684365">
        <w:t>We tuned with n_estimators = 140 and min_impurity_decrease = 0, then tuned min_impurity_decrease at the final step.</w:t>
      </w:r>
    </w:p>
    <w:p w14:paraId="67E87E74" w14:textId="77777777" w:rsidR="00C0144B" w:rsidRDefault="00C0144B" w:rsidP="00ED6AD9">
      <w:pPr>
        <w:spacing w:after="160" w:line="259" w:lineRule="auto"/>
        <w:jc w:val="left"/>
      </w:pPr>
    </w:p>
    <w:p w14:paraId="07516835" w14:textId="3643F3B0" w:rsidR="00662285" w:rsidRPr="00354217" w:rsidRDefault="007D7B01" w:rsidP="00ED6AD9">
      <w:pPr>
        <w:spacing w:after="160" w:line="259" w:lineRule="auto"/>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08E96B44"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w:t>
      </w:r>
      <w:r w:rsidR="00295C44">
        <w:rPr>
          <w:rFonts w:eastAsia="Times New Roman"/>
          <w:color w:val="000000"/>
        </w:rPr>
        <w:t>Fig. 6</w:t>
      </w:r>
      <w:r w:rsidRPr="00684365">
        <w:rPr>
          <w:rFonts w:eastAsia="Times New Roman"/>
          <w:color w:val="000000"/>
        </w:rPr>
        <w:t xml:space="preserve">).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w:t>
      </w:r>
      <w:r w:rsidR="00295C44">
        <w:rPr>
          <w:rFonts w:eastAsia="Times New Roman"/>
          <w:color w:val="000000"/>
        </w:rPr>
        <w:t>Fig. 6</w:t>
      </w:r>
      <w:r w:rsidRPr="00684365">
        <w:rPr>
          <w:rFonts w:eastAsia="Times New Roman"/>
          <w:color w:val="000000"/>
        </w:rPr>
        <w:t>).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4FF7C10" w14:textId="60EB7675" w:rsidR="006211E6" w:rsidRDefault="00A53251" w:rsidP="001664D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w:t>
      </w:r>
      <w:r w:rsidR="00C84AEC">
        <w:rPr>
          <w:rFonts w:eastAsia="Times New Roman"/>
          <w:color w:val="000000"/>
        </w:rPr>
        <w:t xml:space="preserve">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r w:rsidR="00E46E31" w:rsidRPr="00684365">
        <w:rPr>
          <w:rFonts w:eastAsia="Times New Roman"/>
          <w:color w:val="000000"/>
        </w:rPr>
        <w:t xml:space="preserve">max_samples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8E9FC95"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95C44">
        <w:rPr>
          <w:rFonts w:eastAsia="Times New Roman"/>
          <w:color w:val="000000"/>
        </w:rPr>
        <w:t>Fig. 4</w:t>
      </w:r>
      <w:r w:rsidRPr="00684365">
        <w:rPr>
          <w:rFonts w:eastAsia="Times New Roman"/>
          <w:color w:val="000000"/>
        </w:rPr>
        <w:t xml:space="preserve">) </w:t>
      </w:r>
      <w:r w:rsidRPr="00684365">
        <w:t>and hyperparameter tuning (</w:t>
      </w:r>
      <w:r w:rsidR="00295C44">
        <w:t>Fig. 5</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7AAB967C" w:rsidR="009B633E" w:rsidRDefault="00D60430" w:rsidP="009B633E">
      <w:pPr>
        <w:spacing w:after="120" w:line="228" w:lineRule="auto"/>
        <w:jc w:val="both"/>
        <w:rPr>
          <w:rFonts w:eastAsia="Times New Roman"/>
        </w:rPr>
      </w:pPr>
      <w:r>
        <w:rPr>
          <w:noProof/>
          <w:sz w:val="16"/>
          <w:szCs w:val="16"/>
        </w:rPr>
        <w:lastRenderedPageBreak/>
        <w:drawing>
          <wp:inline distT="0" distB="0" distL="0" distR="0" wp14:anchorId="002695FC" wp14:editId="7D464D61">
            <wp:extent cx="6620510" cy="7117715"/>
            <wp:effectExtent l="0" t="0" r="8890" b="6985"/>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0510" cy="7117715"/>
                    </a:xfrm>
                    <a:prstGeom prst="rect">
                      <a:avLst/>
                    </a:prstGeom>
                  </pic:spPr>
                </pic:pic>
              </a:graphicData>
            </a:graphic>
          </wp:inline>
        </w:drawing>
      </w:r>
    </w:p>
    <w:p w14:paraId="7ACE6631" w14:textId="41CED204"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 xml:space="preserve">uncorrelated </w:t>
      </w:r>
      <w:r w:rsidR="008610DF">
        <w:rPr>
          <w:rFonts w:eastAsia="Times New Roman"/>
        </w:rPr>
        <w:t>[16</w:t>
      </w:r>
      <w:r w:rsidR="00E07BAA">
        <w:rPr>
          <w:rFonts w:eastAsia="Times New Roman"/>
        </w:rPr>
        <w:t>,</w:t>
      </w:r>
      <w:r w:rsidR="008610DF">
        <w:t>31</w:t>
      </w:r>
      <w:r w:rsidR="00EB7EFB" w:rsidRPr="00EB7EFB">
        <w:t>]</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w:t>
      </w:r>
      <w:r>
        <w:rPr>
          <w:rFonts w:eastAsia="Times New Roman"/>
          <w:color w:val="000000"/>
        </w:rPr>
        <w:t xml:space="preserve">features. The model likely splits the decision trees at intermediate stages so that these patterns are handled separately. Meanwhile, the state encoder (STATEFP) could be useful in handling patterns found on a lower spatial resolution. It may also improve model performance by </w:t>
      </w:r>
      <w:r>
        <w:rPr>
          <w:rFonts w:eastAsia="Times New Roman"/>
          <w:color w:val="000000"/>
        </w:rPr>
        <w:lastRenderedPageBreak/>
        <w:t>creating a divide-and-conquer effect, as counties within the same state will have the most similar patterns.</w:t>
      </w:r>
    </w:p>
    <w:p w14:paraId="4130CA24" w14:textId="365BBEF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w:t>
      </w:r>
      <w:r w:rsidR="00295C44">
        <w:rPr>
          <w:rFonts w:eastAsia="Times New Roman"/>
          <w:color w:val="000000"/>
        </w:rPr>
        <w:t>Fig. 6</w:t>
      </w:r>
      <w:r w:rsidR="001534AB" w:rsidRPr="00684365">
        <w:rPr>
          <w:rFonts w:eastAsia="Times New Roman"/>
          <w:color w:val="000000"/>
        </w:rPr>
        <w:t>).</w:t>
      </w:r>
    </w:p>
    <w:p w14:paraId="443644BD" w14:textId="77777777" w:rsidR="000516B1" w:rsidRDefault="000516B1" w:rsidP="000516B1">
      <w:pPr>
        <w:pStyle w:val="Heading2"/>
      </w:pPr>
      <w:r>
        <w:t>Importance Measures</w:t>
      </w:r>
    </w:p>
    <w:p w14:paraId="5DCC9CEF" w14:textId="78B8F512" w:rsidR="007A3B85" w:rsidRDefault="000516B1" w:rsidP="007A3B85">
      <w:pPr>
        <w:spacing w:after="120" w:line="228" w:lineRule="auto"/>
        <w:ind w:firstLine="288"/>
        <w:jc w:val="both"/>
      </w:pPr>
      <w:r>
        <w:t xml:space="preserve">Impurity-based feature importances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w:t>
      </w:r>
      <w:r w:rsidR="008610DF">
        <w:t>[33</w:t>
      </w:r>
      <w:r w:rsidR="007A3B85">
        <w:t xml:space="preserve">]. </w:t>
      </w:r>
    </w:p>
    <w:p w14:paraId="6F9A899C" w14:textId="6A9EA55A"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w:t>
      </w:r>
      <w:r w:rsidR="00295C44">
        <w:rPr>
          <w:rFonts w:eastAsia="Times New Roman"/>
          <w:color w:val="000000"/>
        </w:rPr>
        <w:t>Fig. 4</w:t>
      </w:r>
      <w:r w:rsidR="000516B1">
        <w:rPr>
          <w:rFonts w:eastAsia="Times New Roman"/>
          <w:color w:val="000000"/>
        </w:rPr>
        <w:t xml:space="preserve">)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415A8D3C"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w:t>
      </w:r>
      <w:r w:rsidR="00295C44">
        <w:rPr>
          <w:rFonts w:eastAsia="Times New Roman"/>
          <w:color w:val="000000"/>
        </w:rPr>
        <w:t>Fig. 6</w:t>
      </w:r>
      <w:r w:rsidR="00673A0F">
        <w:rPr>
          <w:rFonts w:eastAsia="Times New Roman"/>
          <w:color w:val="000000"/>
        </w:rPr>
        <w:t xml:space="preserve">).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w:t>
      </w:r>
      <w:r w:rsidR="008610DF">
        <w:rPr>
          <w:rFonts w:eastAsia="Times New Roman"/>
          <w:color w:val="000000"/>
        </w:rPr>
        <w:t>[34</w:t>
      </w:r>
      <w:r w:rsidR="00E07BAA">
        <w:rPr>
          <w:rFonts w:eastAsia="Times New Roman"/>
          <w:color w:val="000000"/>
        </w:rPr>
        <w:t>,</w:t>
      </w:r>
      <w:r w:rsidR="008610DF">
        <w:rPr>
          <w:rFonts w:eastAsia="Times New Roman"/>
          <w:color w:val="000000"/>
        </w:rPr>
        <w:t>35</w:t>
      </w:r>
      <w:r w:rsidR="00102E5F" w:rsidRPr="00102E5F">
        <w:rPr>
          <w:rFonts w:eastAsia="Times New Roman"/>
          <w:color w:val="000000"/>
        </w:rPr>
        <w:t xml:space="preserve">].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w:t>
      </w:r>
      <w:r w:rsidR="00295C44">
        <w:rPr>
          <w:rFonts w:eastAsia="Times New Roman"/>
          <w:color w:val="000000"/>
        </w:rPr>
        <w:t>Fig. 6</w:t>
      </w:r>
      <w:r w:rsidR="003E333F">
        <w:rPr>
          <w:rFonts w:eastAsia="Times New Roman"/>
          <w:color w:val="000000"/>
        </w:rPr>
        <w:t>)</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0EBF9CEA"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between 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95C44">
        <w:rPr>
          <w:rFonts w:eastAsia="Times New Roman"/>
          <w:color w:val="000000"/>
        </w:rPr>
        <w:t>Fig. 6</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w:t>
      </w:r>
      <w:r w:rsidR="008610DF">
        <w:rPr>
          <w:rFonts w:eastAsia="Times New Roman"/>
          <w:color w:val="000000"/>
        </w:rPr>
        <w:t>[36</w:t>
      </w:r>
      <w:r w:rsidR="007A3B85" w:rsidRPr="007A3B85">
        <w:rPr>
          <w:rFonts w:eastAsia="Times New Roman"/>
          <w:color w:val="000000"/>
        </w:rPr>
        <w:t xml:space="preserve">]. In other words, higher NPP implies less carbon is released into the atmosphere, and this is correlated with a lower mortality rate. </w:t>
      </w:r>
    </w:p>
    <w:p w14:paraId="45A5C4BE" w14:textId="0FE8958E"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r w:rsidR="00A57D90">
        <w:rPr>
          <w:rFonts w:eastAsia="Times New Roman"/>
          <w:color w:val="000000"/>
        </w:rPr>
        <w:t xml:space="preserve">and </w:t>
      </w:r>
      <w:r w:rsidRPr="007A3B85">
        <w:rPr>
          <w:rFonts w:eastAsia="Times New Roman"/>
          <w:color w:val="000000"/>
        </w:rPr>
        <w:t>PM2.5 concentrations have a weak negative correlation with mortality rate (</w:t>
      </w:r>
      <w:r w:rsidR="00295C44">
        <w:rPr>
          <w:rFonts w:eastAsia="Times New Roman"/>
          <w:color w:val="000000"/>
        </w:rPr>
        <w:t>Fig. 6</w:t>
      </w:r>
      <w:r w:rsidRPr="007A3B85">
        <w:rPr>
          <w:rFonts w:eastAsia="Times New Roman"/>
          <w:color w:val="000000"/>
        </w:rPr>
        <w:t>).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w:t>
      </w:r>
      <w:r w:rsidR="008610DF">
        <w:rPr>
          <w:rFonts w:eastAsia="Times New Roman"/>
          <w:color w:val="000000"/>
        </w:rPr>
        <w:t>[37</w:t>
      </w:r>
      <w:r w:rsidR="00E07BAA">
        <w:rPr>
          <w:rFonts w:eastAsia="Times New Roman"/>
          <w:color w:val="000000"/>
        </w:rPr>
        <w:t>,</w:t>
      </w:r>
      <w:r w:rsidR="008610DF">
        <w:rPr>
          <w:rFonts w:eastAsia="Times New Roman"/>
          <w:color w:val="000000"/>
        </w:rPr>
        <w:t>38</w:t>
      </w:r>
      <w:r w:rsidR="00E07BAA">
        <w:rPr>
          <w:rFonts w:eastAsia="Times New Roman"/>
          <w:color w:val="000000"/>
        </w:rPr>
        <w:t>,</w:t>
      </w:r>
      <w:r w:rsidR="008610DF">
        <w:rPr>
          <w:rFonts w:eastAsia="Times New Roman"/>
          <w:color w:val="000000"/>
        </w:rPr>
        <w:t>39</w:t>
      </w:r>
      <w:r w:rsidRPr="007A3B85">
        <w:rPr>
          <w:rFonts w:eastAsia="Times New Roman"/>
          <w:color w:val="000000"/>
        </w:rPr>
        <w:t xml:space="preserve">].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3594871C"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w:t>
      </w:r>
      <w:r w:rsidR="008610DF">
        <w:rPr>
          <w:rFonts w:eastAsia="Times New Roman"/>
          <w:color w:val="000000"/>
        </w:rPr>
        <w:t>[20]</w:t>
      </w:r>
      <w:r w:rsidR="00497A2B" w:rsidRPr="00497A2B">
        <w:rPr>
          <w:rFonts w:eastAsia="Times New Roman"/>
          <w:color w:val="000000"/>
        </w:rPr>
        <w:t>, but the drought indices have a near-zero correlation with PM2.5 (</w:t>
      </w:r>
      <w:r w:rsidR="00295C44">
        <w:rPr>
          <w:rFonts w:eastAsia="Times New Roman"/>
          <w:color w:val="000000"/>
        </w:rPr>
        <w:t>Fig. 6</w:t>
      </w:r>
      <w:r w:rsidR="00497A2B" w:rsidRPr="00497A2B">
        <w:rPr>
          <w:rFonts w:eastAsia="Times New Roman"/>
          <w:color w:val="000000"/>
        </w:rPr>
        <w:t xml:space="preserve">). Estimates from </w:t>
      </w:r>
      <w:r w:rsidR="008610DF">
        <w:rPr>
          <w:rFonts w:eastAsia="Times New Roman"/>
          <w:color w:val="000000"/>
        </w:rPr>
        <w:t>[21</w:t>
      </w:r>
      <w:r w:rsidR="00497A2B" w:rsidRPr="00497A2B">
        <w:rPr>
          <w:rFonts w:eastAsia="Times New Roman"/>
          <w:color w:val="000000"/>
        </w:rPr>
        <w:t>]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w:t>
      </w:r>
      <w:r w:rsidR="00295C44">
        <w:rPr>
          <w:rFonts w:eastAsia="Times New Roman"/>
          <w:color w:val="000000"/>
        </w:rPr>
        <w:t>Fig. 6</w:t>
      </w:r>
      <w:r w:rsidR="00C07B9A">
        <w:rPr>
          <w:rFonts w:eastAsia="Times New Roman"/>
          <w:color w:val="000000"/>
        </w:rPr>
        <w:t>)</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AED6C90"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r w:rsidR="00A57D90">
        <w:rPr>
          <w:rFonts w:eastAsia="Times New Roman"/>
          <w:color w:val="000000"/>
        </w:rPr>
        <w:t xml:space="preserve"> and</w:t>
      </w:r>
      <w:r w:rsidRPr="001F0CF1">
        <w:rPr>
          <w:rFonts w:eastAsia="Times New Roman"/>
          <w:color w:val="000000"/>
        </w:rPr>
        <w:t xml:space="preserve"> PM2.5.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 xml:space="preserve">communities dwell experience higher concentrations of pollutants </w:t>
      </w:r>
      <w:r w:rsidR="008610DF">
        <w:rPr>
          <w:rFonts w:eastAsia="Times New Roman"/>
          <w:color w:val="000000"/>
        </w:rPr>
        <w:t>[40</w:t>
      </w:r>
      <w:r w:rsidR="00497A2B" w:rsidRPr="00497A2B">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616AB3F7"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w:t>
      </w:r>
      <w:r w:rsidR="008610DF">
        <w:rPr>
          <w:rFonts w:eastAsia="Times New Roman"/>
          <w:color w:val="000000"/>
        </w:rPr>
        <w:t>[41</w:t>
      </w:r>
      <w:r w:rsidR="00497A2B" w:rsidRPr="00497A2B">
        <w:rPr>
          <w:rFonts w:eastAsia="Times New Roman"/>
          <w:color w:val="000000"/>
        </w:rPr>
        <w:t xml:space="preserve">].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3654202C"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 xml:space="preserve">estimates simulated by an ensemble of five chemical transport models </w:t>
      </w:r>
      <w:r w:rsidR="008610DF">
        <w:rPr>
          <w:rFonts w:eastAsia="Times New Roman"/>
          <w:color w:val="000000"/>
        </w:rPr>
        <w:t>[42</w:t>
      </w:r>
      <w:r w:rsidR="00497A2B" w:rsidRPr="00497A2B">
        <w:rPr>
          <w:rFonts w:eastAsia="Times New Roman"/>
          <w:color w:val="000000"/>
        </w:rPr>
        <w:t xml:space="preserve">]. These annual mean concentrations were used to estimate global </w:t>
      </w:r>
      <w:r w:rsidR="00497A2B" w:rsidRPr="00497A2B">
        <w:rPr>
          <w:rFonts w:eastAsia="Times New Roman"/>
          <w:color w:val="000000"/>
        </w:rPr>
        <w:lastRenderedPageBreak/>
        <w:t xml:space="preserve">asthma ERVs attributable to ozone </w:t>
      </w:r>
      <w:r w:rsidR="008610DF">
        <w:rPr>
          <w:rFonts w:eastAsia="Times New Roman"/>
          <w:color w:val="000000"/>
        </w:rPr>
        <w:t>[41</w:t>
      </w:r>
      <w:r w:rsidR="00497A2B" w:rsidRPr="00497A2B">
        <w:rPr>
          <w:rFonts w:eastAsia="Times New Roman"/>
          <w:color w:val="000000"/>
        </w:rPr>
        <w:t>]. Due to the lack of a monthly ground-level ozone dataset, we did not include ground-level ozone for the present study.</w:t>
      </w:r>
    </w:p>
    <w:p w14:paraId="09280E04" w14:textId="0A205425"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t xml:space="preserve">Data for daily ground-level ozone and other pollutants from EPA Air Data is available in coordinate-specific format. This format is more beneficial for case studies on a localized scale, such as in </w:t>
      </w:r>
      <w:r w:rsidR="008610DF">
        <w:rPr>
          <w:rFonts w:eastAsia="Times New Roman"/>
          <w:color w:val="000000"/>
        </w:rPr>
        <w:t>[39</w:t>
      </w:r>
      <w:r w:rsidRPr="00497A2B">
        <w:rPr>
          <w:rFonts w:eastAsia="Times New Roman"/>
          <w:color w:val="000000"/>
        </w:rPr>
        <w:t xml:space="preserve">],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p>
    <w:p w14:paraId="00000040" w14:textId="1C92C0B6" w:rsidR="00955314" w:rsidRPr="001F0CF1" w:rsidRDefault="00B55929" w:rsidP="00E82575">
      <w:pPr>
        <w:pStyle w:val="Heading2"/>
      </w:pPr>
      <w:r>
        <w:t>Other Limitations</w:t>
      </w:r>
    </w:p>
    <w:p w14:paraId="1B0072E6" w14:textId="1548D02F"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 xml:space="preserve">effects on a more localized scale, such as within individual cities </w:t>
      </w:r>
      <w:r w:rsidR="008610DF">
        <w:rPr>
          <w:rFonts w:eastAsia="Times New Roman"/>
          <w:color w:val="000000"/>
        </w:rPr>
        <w:t>[39</w:t>
      </w:r>
      <w:r w:rsidR="00497A2B" w:rsidRPr="00497A2B">
        <w:rPr>
          <w:rFonts w:eastAsia="Times New Roman"/>
          <w:color w:val="000000"/>
        </w:rPr>
        <w:t>]. Thus, we may characterize these limitations.</w:t>
      </w:r>
    </w:p>
    <w:p w14:paraId="641364BF" w14:textId="25674C27"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w:t>
      </w:r>
      <w:r w:rsidR="008610DF">
        <w:rPr>
          <w:rFonts w:eastAsia="Times New Roman"/>
          <w:color w:val="000000"/>
        </w:rPr>
        <w:t>[43</w:t>
      </w:r>
      <w:r w:rsidRPr="00497A2B">
        <w:rPr>
          <w:rFonts w:eastAsia="Times New Roman"/>
          <w:color w:val="000000"/>
        </w:rPr>
        <w:t xml:space="preserve">]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0C551615"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 xml:space="preserve">rly tobacco smoking and other airborne allergens </w:t>
      </w:r>
      <w:r w:rsidR="008610DF">
        <w:rPr>
          <w:rFonts w:eastAsia="Times New Roman"/>
          <w:color w:val="000000"/>
        </w:rPr>
        <w:t>[</w:t>
      </w:r>
      <w:r w:rsidR="00E07BAA">
        <w:rPr>
          <w:rFonts w:eastAsia="Times New Roman"/>
          <w:color w:val="000000"/>
        </w:rPr>
        <w:t>3,4,44</w:t>
      </w:r>
      <w:r w:rsidR="00E02AD9" w:rsidRPr="00E02AD9">
        <w:rPr>
          <w:rFonts w:eastAsia="Times New Roman"/>
          <w:color w:val="000000"/>
        </w:rPr>
        <w:t>], but also infectious microorganisms [9].</w:t>
      </w:r>
    </w:p>
    <w:p w14:paraId="40F8F9A2" w14:textId="373CE5DE"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 xml:space="preserve">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w:t>
      </w:r>
      <w:r w:rsidR="008610DF">
        <w:rPr>
          <w:rFonts w:eastAsia="Times New Roman"/>
          <w:color w:val="000000"/>
        </w:rPr>
        <w:t>[45</w:t>
      </w:r>
      <w:r w:rsidRPr="00E02AD9">
        <w:rPr>
          <w:rFonts w:eastAsia="Times New Roman"/>
          <w:color w:val="000000"/>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64B3F01"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610DF">
        <w:rPr>
          <w:rFonts w:eastAsia="Times New Roman"/>
          <w:color w:val="000000"/>
        </w:rPr>
        <w:t>[27</w:t>
      </w:r>
      <w:r w:rsidR="008A7AD8" w:rsidRPr="008A7AD8">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FBCDC88"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w:t>
      </w:r>
      <w:r w:rsidR="008610DF">
        <w:rPr>
          <w:rFonts w:eastAsia="Times New Roman"/>
          <w:color w:val="000000"/>
        </w:rPr>
        <w:t>[41</w:t>
      </w:r>
      <w:r w:rsidRPr="008A7AD8">
        <w:rPr>
          <w:rFonts w:eastAsia="Times New Roman"/>
          <w:color w:val="000000"/>
        </w:rPr>
        <w:t xml:space="preserve">],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1177CFBA"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w:t>
      </w:r>
      <w:r w:rsidR="008610DF">
        <w:rPr>
          <w:rFonts w:eastAsia="Times New Roman"/>
          <w:color w:val="000000"/>
        </w:rPr>
        <w:t>[46</w:t>
      </w:r>
      <w:r w:rsidR="00645B9D">
        <w:rPr>
          <w:rFonts w:eastAsia="Times New Roman"/>
          <w:color w:val="000000"/>
        </w:rPr>
        <w:t>,</w:t>
      </w:r>
      <w:r w:rsidR="008610DF">
        <w:rPr>
          <w:rFonts w:eastAsia="Times New Roman"/>
          <w:color w:val="000000"/>
        </w:rPr>
        <w:t>47</w:t>
      </w:r>
      <w:r w:rsidR="008A7AD8" w:rsidRPr="008A7AD8">
        <w:rPr>
          <w:rFonts w:eastAsia="Times New Roman"/>
          <w:color w:val="000000"/>
        </w:rPr>
        <w:t>]</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1A4ECE5D"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w:t>
      </w:r>
      <w:r w:rsidR="008610DF">
        <w:rPr>
          <w:rFonts w:eastAsia="Times New Roman"/>
          <w:color w:val="000000"/>
        </w:rPr>
        <w:t>[48</w:t>
      </w:r>
      <w:r w:rsidR="000505DF">
        <w:rPr>
          <w:rFonts w:eastAsia="Times New Roman"/>
          <w:color w:val="000000"/>
        </w:rPr>
        <w:t xml:space="preserve">],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r w:rsidR="008610DF">
        <w:rPr>
          <w:rFonts w:eastAsia="Times New Roman"/>
          <w:color w:val="000000"/>
        </w:rPr>
        <w:t>[49</w:t>
      </w:r>
      <w:r w:rsidR="00866EB1">
        <w:rPr>
          <w:rFonts w:eastAsia="Times New Roman"/>
          <w:color w:val="000000"/>
        </w:rPr>
        <w:t xml:space="preserve">] </w:t>
      </w:r>
      <w:r w:rsidR="007A380E">
        <w:rPr>
          <w:rFonts w:eastAsia="Times New Roman"/>
          <w:color w:val="000000"/>
        </w:rPr>
        <w:t>can be used</w:t>
      </w:r>
      <w:r w:rsidR="00866EB1">
        <w:rPr>
          <w:rFonts w:eastAsia="Times New Roman"/>
          <w:color w:val="000000"/>
        </w:rPr>
        <w:t>.</w:t>
      </w:r>
    </w:p>
    <w:p w14:paraId="299FD2F3" w14:textId="5C4F7643"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09BDADDB"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w:t>
      </w:r>
      <w:r w:rsidR="008610DF">
        <w:t>[50</w:t>
      </w:r>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186B0BF5" w14:textId="72D4E759"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 xml:space="preserve">“Technical note: Coordination and harmonization of the multi-scale, multi-model activities HTAP2, AQMEII3, and MICS-Asia3: simulations, emission inventories, boundary conditions, and model </w:t>
      </w:r>
      <w:r w:rsidR="00CF4B1F">
        <w:lastRenderedPageBreak/>
        <w:t>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3280F" w14:textId="77777777" w:rsidR="00BA3642" w:rsidRDefault="00BA3642">
      <w:r>
        <w:separator/>
      </w:r>
    </w:p>
  </w:endnote>
  <w:endnote w:type="continuationSeparator" w:id="0">
    <w:p w14:paraId="2DB8AC23" w14:textId="77777777" w:rsidR="00BA3642" w:rsidRDefault="00BA3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FC832" w14:textId="77777777" w:rsidR="00BA3642" w:rsidRDefault="00BA3642">
      <w:r>
        <w:separator/>
      </w:r>
    </w:p>
  </w:footnote>
  <w:footnote w:type="continuationSeparator" w:id="0">
    <w:p w14:paraId="3CD91F68" w14:textId="77777777" w:rsidR="00BA3642" w:rsidRDefault="00BA36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lPDWgC6mS3U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5665"/>
    <w:rsid w:val="000C6FB4"/>
    <w:rsid w:val="000C7E89"/>
    <w:rsid w:val="000D19E3"/>
    <w:rsid w:val="000D399C"/>
    <w:rsid w:val="000D3E1C"/>
    <w:rsid w:val="000D6C74"/>
    <w:rsid w:val="000D7A27"/>
    <w:rsid w:val="000D7A67"/>
    <w:rsid w:val="000E0910"/>
    <w:rsid w:val="000E165E"/>
    <w:rsid w:val="000E23A7"/>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16407"/>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722"/>
    <w:rsid w:val="001548CF"/>
    <w:rsid w:val="0015494F"/>
    <w:rsid w:val="001560B1"/>
    <w:rsid w:val="001566CC"/>
    <w:rsid w:val="0015765B"/>
    <w:rsid w:val="00157A0A"/>
    <w:rsid w:val="001622B9"/>
    <w:rsid w:val="0016268F"/>
    <w:rsid w:val="001638C7"/>
    <w:rsid w:val="00164575"/>
    <w:rsid w:val="00164BFD"/>
    <w:rsid w:val="00165A5C"/>
    <w:rsid w:val="00165D52"/>
    <w:rsid w:val="001664DD"/>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06C"/>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726"/>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71D"/>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ABE"/>
    <w:rsid w:val="00286DCB"/>
    <w:rsid w:val="00287D33"/>
    <w:rsid w:val="00290E27"/>
    <w:rsid w:val="002912C3"/>
    <w:rsid w:val="002928E7"/>
    <w:rsid w:val="00293D74"/>
    <w:rsid w:val="002952BE"/>
    <w:rsid w:val="0029555B"/>
    <w:rsid w:val="00295C44"/>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398F"/>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558CD"/>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2734"/>
    <w:rsid w:val="00482ACF"/>
    <w:rsid w:val="00485DA5"/>
    <w:rsid w:val="004867E8"/>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77A59"/>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17EF"/>
    <w:rsid w:val="005B2D73"/>
    <w:rsid w:val="005B3B18"/>
    <w:rsid w:val="005B3E03"/>
    <w:rsid w:val="005B581B"/>
    <w:rsid w:val="005B5F6F"/>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1C96"/>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5B9D"/>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6398"/>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1E5"/>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0DF"/>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39F"/>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3E0"/>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263"/>
    <w:rsid w:val="00945D54"/>
    <w:rsid w:val="00946A9F"/>
    <w:rsid w:val="00950281"/>
    <w:rsid w:val="00950949"/>
    <w:rsid w:val="0095194A"/>
    <w:rsid w:val="00955314"/>
    <w:rsid w:val="00956573"/>
    <w:rsid w:val="00956C14"/>
    <w:rsid w:val="00957554"/>
    <w:rsid w:val="0095770D"/>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93"/>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0ADB"/>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25A8"/>
    <w:rsid w:val="00BA3642"/>
    <w:rsid w:val="00BA3CF3"/>
    <w:rsid w:val="00BA4629"/>
    <w:rsid w:val="00BA591E"/>
    <w:rsid w:val="00BA65BF"/>
    <w:rsid w:val="00BA7494"/>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144B"/>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37A64"/>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33F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0430"/>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770A9"/>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D7DCA"/>
    <w:rsid w:val="00DE01C3"/>
    <w:rsid w:val="00DE0504"/>
    <w:rsid w:val="00DE0C07"/>
    <w:rsid w:val="00DE1A04"/>
    <w:rsid w:val="00DE5121"/>
    <w:rsid w:val="00DE55D6"/>
    <w:rsid w:val="00DF17FA"/>
    <w:rsid w:val="00DF4DBD"/>
    <w:rsid w:val="00DF66B3"/>
    <w:rsid w:val="00E02AD9"/>
    <w:rsid w:val="00E040B2"/>
    <w:rsid w:val="00E04C44"/>
    <w:rsid w:val="00E05E10"/>
    <w:rsid w:val="00E074B3"/>
    <w:rsid w:val="00E07BAA"/>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6AD9"/>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1C6"/>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1C3"/>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E652F"/>
    <w:rsid w:val="00FF40B7"/>
    <w:rsid w:val="00FF5D2F"/>
    <w:rsid w:val="00FF678C"/>
    <w:rsid w:val="00FF6FC5"/>
    <w:rsid w:val="00FF7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9</Pages>
  <Words>5648</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223</cp:revision>
  <dcterms:created xsi:type="dcterms:W3CDTF">2021-06-07T05:10:00Z</dcterms:created>
  <dcterms:modified xsi:type="dcterms:W3CDTF">2021-11-20T23:40:00Z</dcterms:modified>
</cp:coreProperties>
</file>