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Explainable Fracture Detection with a Fine-Tuned ResNet50 and Grad-CAM: Leak-Free Re-Evaluation, Calibration and Quantitative Explanation Validation</w:t>
      </w:r>
    </w:p>
    <w:p>
      <w:r>
        <w:t>Author: Yug G. Lakhani, Department of Computer Engineering, Gyanmanjari Innovative University (yglakhani@gmiu.edu.in, ORCID 0009-0004-2930-4953)</w:t>
      </w:r>
    </w:p>
    <w:p>
      <w:pPr>
        <w:pStyle w:val="IntenseQuote"/>
      </w:pPr>
      <w:r>
        <w:t>**DRAFT v4 — status: METHODS REVISED, EXPERIMENTS NOT YET RUN.**</w:t>
      </w:r>
    </w:p>
    <w:p>
      <w:pPr>
        <w:pStyle w:val="IntenseQuote"/>
      </w:pPr>
      <w:r>
        <w:t>Every value that depends on the retrained model is marked `[PENDING: …]`</w:t>
      </w:r>
    </w:p>
    <w:p>
      <w:pPr>
        <w:pStyle w:val="IntenseQuote"/>
      </w:pPr>
      <w:r>
        <w:t>and must be filled only from files under `results/` produced by the</w:t>
      </w:r>
    </w:p>
    <w:p>
      <w:pPr>
        <w:pStyle w:val="IntenseQuote"/>
      </w:pPr>
      <w:r>
        <w:t>commands in `revision/RUNBOOK.md`. The v3 validation figures (94.07%</w:t>
      </w:r>
    </w:p>
    <w:p>
      <w:pPr>
        <w:pStyle w:val="IntenseQuote"/>
      </w:pPr>
      <w:r>
        <w:t>accuracy etc.) must **not** be carried into the Results of this version:</w:t>
      </w:r>
    </w:p>
    <w:p>
      <w:pPr>
        <w:pStyle w:val="IntenseQuote"/>
      </w:pPr>
      <w:r>
        <w:t>they were measured on a set with 90.8% train–validation source overlap.</w:t>
      </w:r>
    </w:p>
    <w:p>
      <w:pPr>
        <w:pStyle w:val="IntenseQuote"/>
      </w:pPr>
      <w:r>
        <w:t>Text that is final (problem, audit of v3, protocol) is written as final.</w:t>
      </w:r>
    </w:p>
    <w:p>
      <w:r>
        <w:t>---</w:t>
      </w:r>
    </w:p>
    <w:p>
      <w:pPr>
        <w:pStyle w:val="Heading1"/>
      </w:pPr>
      <w:r>
        <w:t>Abstract</w:t>
      </w:r>
    </w:p>
    <w:p>
      <w:r>
        <w:t>[Rewrite after experiments. Structure: (1) v3 prototype and its leakage audit</w:t>
      </w:r>
    </w:p>
    <w:p>
      <w:r>
        <w:t>(90.8% of validation file-name stems also in training); (2) this revision:</w:t>
      </w:r>
    </w:p>
    <w:p>
      <w:r>
        <w:t>source-grouped, perceptual-hash-deduplicated train/validation/test split,</w:t>
      </w:r>
    </w:p>
    <w:p>
      <w:r>
        <w:t>verified annotation class IDs with an independent spot-check of</w:t>
      </w:r>
    </w:p>
    <w:p>
      <w:r>
        <w:t>[PENDING: n] labels/boxes by [PENDING: reviewer role], documented</w:t>
      </w:r>
    </w:p>
    <w:p>
      <w:r>
        <w:t>per-source datasets; (3) results on the held-out test set and on</w:t>
      </w:r>
    </w:p>
    <w:p>
      <w:r>
        <w:t>[PENDING: external dataset name]: accuracy [PENDING], sensitivity at the</w:t>
      </w:r>
    </w:p>
    <w:p>
      <w:r>
        <w:t>pre-declared operating point [PENDING], AUC [PENDING], ECE before/after</w:t>
      </w:r>
    </w:p>
    <w:p>
      <w:r>
        <w:t>temperature scaling [PENDING]; (4) quantitative Grad-CAM validation:</w:t>
      </w:r>
    </w:p>
    <w:p>
      <w:r>
        <w:t>pointing-game accuracy [PENDING], energy-in-box vs chance [PENDING];</w:t>
      </w:r>
    </w:p>
    <w:p>
      <w:r>
        <w:t>(5) conclusion bounded by what the external result supports.]</w:t>
      </w:r>
    </w:p>
    <w:p>
      <w:r>
        <w:t>Index Terms— Fracture detection, ResNet50, transfer learning, Grad-CAM, explainable AI, data leakage, calibration, radiographs, web deployment.</w:t>
      </w:r>
    </w:p>
    <w:p>
      <w:pPr>
        <w:pStyle w:val="Heading1"/>
      </w:pPr>
      <w:r>
        <w:t>I. Introduction</w:t>
      </w:r>
    </w:p>
    <w:p>
      <w:r>
        <w:t>[Carry over from v3, with the final paragraph replaced by:]</w:t>
      </w:r>
    </w:p>
    <w:p>
      <w:r>
        <w:t>This revision re-evaluates the v3 prototype under a leak-free protocol. The</w:t>
      </w:r>
    </w:p>
    <w:p>
      <w:r>
        <w:t>contributions are: (1) a source-grouped, hash-deduplicated split with a</w:t>
      </w:r>
    </w:p>
    <w:p>
      <w:r>
        <w:t>held-out test set that is evaluated once; (2) verified labels and bounding</w:t>
      </w:r>
    </w:p>
    <w:p>
      <w:r>
        <w:t>boxes, with a documented human spot-check; (3) calibrated probabilities and</w:t>
      </w:r>
    </w:p>
    <w:p>
      <w:r>
        <w:t>an operating threshold selected on validation data for a pre-declared</w:t>
      </w:r>
    </w:p>
    <w:p>
      <w:r>
        <w:t>target sensitivity of 0.95; (4) quantitative validation of Grad-CAM against</w:t>
      </w:r>
    </w:p>
    <w:p>
      <w:r>
        <w:t>annotated boxes, together with source-confounding tests; (5) per-source and</w:t>
      </w:r>
    </w:p>
    <w:p>
      <w:r>
        <w:t>external-dataset evaluation. The web application (FastAPI/React, Grad-CAM,</w:t>
      </w:r>
    </w:p>
    <w:p>
      <w:r>
        <w:t>manual-review flag) is unchanged from v3.</w:t>
      </w:r>
    </w:p>
    <w:p>
      <w:pPr>
        <w:pStyle w:val="Heading1"/>
      </w:pPr>
      <w:r>
        <w:t>II. Related Work</w:t>
      </w:r>
    </w:p>
    <w:p>
      <w:r>
        <w:t>[Carry over from v3 unchanged, adding calibration (Guo et al.) and</w:t>
      </w:r>
    </w:p>
    <w:p>
      <w:r>
        <w:t>saliency-sanity-check (Adebayo et al.) citations already in the v3 list.]</w:t>
      </w:r>
    </w:p>
    <w:p>
      <w:pPr>
        <w:pStyle w:val="Heading1"/>
      </w:pPr>
      <w:r>
        <w:t>III. Research Gap and Questions</w:t>
      </w:r>
    </w:p>
    <w:p>
      <w:r>
        <w:t>[Carry over; RQ1–RQ3 now answerable: RQ1 = test/external performance under</w:t>
      </w:r>
    </w:p>
    <w:p>
      <w:r>
        <w:t>the grouped split, RQ3 = which safeguards are now met (Table VI is replaced</w:t>
      </w:r>
    </w:p>
    <w:p>
      <w:r>
        <w:t>by the "status after revision" table in §VI).]</w:t>
      </w:r>
    </w:p>
    <w:p>
      <w:pPr>
        <w:pStyle w:val="Heading1"/>
      </w:pPr>
      <w:r>
        <w:t>IV. Method</w:t>
      </w:r>
    </w:p>
    <w:p>
      <w:pPr>
        <w:pStyle w:val="Heading2"/>
      </w:pPr>
      <w:r>
        <w:t>A. Datasets and provenance</w:t>
      </w:r>
    </w:p>
    <w:p>
      <w:r>
        <w:t>All source datasets are recorded in the dataset registry (name, URL,</w:t>
      </w:r>
    </w:p>
    <w:p>
      <w:r>
        <w:t>licence, download date, anatomical regions, image counts, annotation</w:t>
      </w:r>
    </w:p>
    <w:p>
      <w:r>
        <w:t>format, patient-ID availability): [PENDING: registry table generated from</w:t>
      </w:r>
    </w:p>
    <w:p>
      <w:r>
        <w:t>datasets/dataset_registry.csv]. Every pooled image is traced to one source</w:t>
      </w:r>
    </w:p>
    <w:p>
      <w:r>
        <w:t>via the data inventory (datasets/data_inventory.csv). Images are not</w:t>
      </w:r>
    </w:p>
    <w:p>
      <w:r>
        <w:t>redistributed; licences are as recorded in the registry.</w:t>
      </w:r>
    </w:p>
    <w:p>
      <w:pPr>
        <w:pStyle w:val="Heading2"/>
      </w:pPr>
      <w:r>
        <w:t>B. Annotation verification</w:t>
      </w:r>
    </w:p>
    <w:p>
      <w:r>
        <w:t>Annotation files are YOLO-format text files. Class IDs were verified</w:t>
      </w:r>
    </w:p>
    <w:p>
      <w:r>
        <w:t>against each source's own documentation (datasets/class_mapping.json);</w:t>
      </w:r>
    </w:p>
    <w:p>
      <w:r>
        <w:t>IDs outside the mapping are reported as issues, never silently treated as</w:t>
      </w:r>
    </w:p>
    <w:p>
      <w:r>
        <w:t>fracture (the v3 rule). scripts/verify_annotations.py produced:</w:t>
      </w:r>
    </w:p>
    <w:p>
      <w:r>
        <w:t>[PENDING: n files, n valid boxes, n issue rows by type, class distribution].</w:t>
      </w:r>
    </w:p>
    <w:p>
      <w:r>
        <w:t>A stratified random sample of [PENDING: n] annotated images was</w:t>
      </w:r>
    </w:p>
    <w:p>
      <w:r>
        <w:t>independently reviewed by [PENDING: name/role, e.g. consultant</w:t>
      </w:r>
    </w:p>
    <w:p>
      <w:r>
        <w:t>radiologist]; label agreement was [PENDING: %], boxes judged correct in</w:t>
      </w:r>
    </w:p>
    <w:p>
      <w:r>
        <w:t>[PENDING: %], and [PENDING: corrections applied / exclusion rule].</w:t>
      </w:r>
    </w:p>
    <w:p>
      <w:pPr>
        <w:pStyle w:val="Heading2"/>
      </w:pPr>
      <w:r>
        <w:t>C. Leak-free split</w:t>
      </w:r>
    </w:p>
    <w:p>
      <w:r>
        <w:t>Images were grouped by union-find over (i) MD5, (ii) 64-bit perceptual</w:t>
      </w:r>
    </w:p>
    <w:p>
      <w:r>
        <w:t>hash within Hamming distance 4, and (iii) file-name stem before the</w:t>
      </w:r>
    </w:p>
    <w:p>
      <w:r>
        <w:t>Roboflow .rf. suffix. Groups — never individual images — were split</w:t>
      </w:r>
    </w:p>
    <w:p>
      <w:r>
        <w:t>70/15/15 (seed 42). Result: [PENDING: n images → n groups; per-partition</w:t>
      </w:r>
    </w:p>
    <w:p>
      <w:r>
        <w:t>and per-source counts table from results/split_summary.json]; the integrity</w:t>
      </w:r>
    </w:p>
    <w:p>
      <w:r>
        <w:t>check confirms no group spans two partitions.</w:t>
      </w:r>
    </w:p>
    <w:p>
      <w:pPr>
        <w:pStyle w:val="Heading2"/>
      </w:pPr>
      <w:r>
        <w:t>D–F. Preprocessing, model, training</w:t>
      </w:r>
    </w:p>
    <w:p>
      <w:r>
        <w:t>[As v3 §IV-B–D, updated: batch size [PENDING], seeds 0/1/2, checkpoint =</w:t>
      </w:r>
    </w:p>
    <w:p>
      <w:r>
        <w:t>best validation F1, saved checkpoint + per-image prediction CSVs. State</w:t>
      </w:r>
    </w:p>
    <w:p>
      <w:r>
        <w:t>hardware and wall-time from the run JSONs.]</w:t>
      </w:r>
    </w:p>
    <w:p>
      <w:pPr>
        <w:pStyle w:val="Heading2"/>
      </w:pPr>
      <w:r>
        <w:t>G. Calibration and thresholding</w:t>
      </w:r>
    </w:p>
    <w:p>
      <w:r>
        <w:t>A temperature fitted on validation logits minimised NLL</w:t>
      </w:r>
    </w:p>
    <w:p>
      <w:r>
        <w:t>(ECE [PENDING: before → after]). The operating threshold</w:t>
      </w:r>
    </w:p>
    <w:p>
      <w:r>
        <w:t>[PENDING: value] is the lowest calibrated threshold reaching sensitivity</w:t>
      </w:r>
    </w:p>
    <w:p>
      <w:r>
        <w:t>≥ 0.95 on validation (specificity then [PENDING]), frozen before any</w:t>
      </w:r>
    </w:p>
    <w:p>
      <w:r>
        <w:t>test/external evaluation. The 0.80 manual-review flag of v3 is replaced by</w:t>
      </w:r>
    </w:p>
    <w:p>
      <w:r>
        <w:t>this threshold, or retained only as [PENDING: justify or remove].</w:t>
      </w:r>
    </w:p>
    <w:p>
      <w:pPr>
        <w:pStyle w:val="Heading2"/>
      </w:pPr>
      <w:r>
        <w:t>H. Evaluation protocol</w:t>
      </w:r>
    </w:p>
    <w:p>
      <w:r>
        <w:t>Test set evaluated once per run; external dataset</w:t>
      </w:r>
    </w:p>
    <w:p>
      <w:r>
        <w:t>([PENDING: name, registry row]) never used for training or selection.</w:t>
      </w:r>
    </w:p>
    <w:p>
      <w:r>
        <w:t>Metrics: accuracy, sensitivity, specificity, PPV, NPV, F1, AUC, ECE, Brier —</w:t>
      </w:r>
    </w:p>
    <w:p>
      <w:r>
        <w:t>overall and per source, with group-cluster bootstrap 95% CIs.</w:t>
      </w:r>
    </w:p>
    <w:p>
      <w:r>
        <w:t>Grad-CAM (unchanged layer4 setup) is validated on test fracture images</w:t>
      </w:r>
    </w:p>
    <w:p>
      <w:r>
        <w:t>with verified boxes: pointing game, CAM energy inside box vs box-area</w:t>
      </w:r>
    </w:p>
    <w:p>
      <w:r>
        <w:t>chance level, IoU at 0.5-of-max, and a weight-randomisation sanity check</w:t>
      </w:r>
    </w:p>
    <w:p>
      <w:r>
        <w:t>(Spearman CAM correlation [PENDING]). Source-confounding: per-source</w:t>
      </w:r>
    </w:p>
    <w:p>
      <w:r>
        <w:t>sensitivity spread, leave-one-source-out estimates, source predictability</w:t>
      </w:r>
    </w:p>
    <w:p>
      <w:r>
        <w:t>from embeddings (CV accuracy vs majority chance [PENDING]), and</w:t>
      </w:r>
    </w:p>
    <w:p>
      <w:r>
        <w:t>border/text-marker ablation with McNemar's test ([PENDING]).</w:t>
      </w:r>
    </w:p>
    <w:p>
      <w:pPr>
        <w:pStyle w:val="Heading1"/>
      </w:pPr>
      <w:r>
        <w:t>V. Results</w:t>
      </w:r>
    </w:p>
    <w:p>
      <w:pPr>
        <w:pStyle w:val="Heading2"/>
      </w:pPr>
      <w:r>
        <w:t>A. Training behaviour — `[PENDING: history from run JSONs]`</w:t>
      </w:r>
    </w:p>
    <w:p>
      <w:pPr>
        <w:pStyle w:val="Heading2"/>
      </w:pPr>
      <w:r>
        <w:t>B. Held-out test performance — `[PENDING: Table from results/summary_test.csv + calibration_threshold.json, mean ± SD over seeds, with CIs]`</w:t>
      </w:r>
    </w:p>
    <w:p>
      <w:pPr>
        <w:pStyle w:val="Heading2"/>
      </w:pPr>
      <w:r>
        <w:t>C. External evaluation — `[PENDING: same metrics on external set; state the internal→external gap honestly]`</w:t>
      </w:r>
    </w:p>
    <w:p>
      <w:pPr>
        <w:pStyle w:val="Heading2"/>
      </w:pPr>
      <w:r>
        <w:t>D. Calibration — `[PENDING: T, ECE/Brier before-after, reliability figure]`</w:t>
      </w:r>
    </w:p>
    <w:p>
      <w:pPr>
        <w:pStyle w:val="Heading2"/>
      </w:pPr>
      <w:r>
        <w:t>E. Grad-CAM validation — `[PENDING: gradcam_summary.json incl. per-source]`</w:t>
      </w:r>
    </w:p>
    <w:p>
      <w:pPr>
        <w:pStyle w:val="Heading2"/>
      </w:pPr>
      <w:r>
        <w:t>F. Source-confounding — `[PENDING: source_confounding.json]`</w:t>
      </w:r>
    </w:p>
    <w:p>
      <w:pPr>
        <w:pStyle w:val="Heading1"/>
      </w:pPr>
      <w:r>
        <w:t>VI. Discussion</w:t>
      </w:r>
    </w:p>
    <w:p>
      <w:r>
        <w:t>[Rewrite around the *new* numbers only: compare test (not validation)</w:t>
      </w:r>
    </w:p>
    <w:p>
      <w:r>
        <w:t>figures with the pooled literature estimates, interpret the external gap</w:t>
      </w:r>
    </w:p>
    <w:p>
      <w:r>
        <w:t>against the 0.95 → 0.86 AUC drop reported in the literature, report where</w:t>
      </w:r>
    </w:p>
    <w:p>
      <w:r>
        <w:t>the target sensitivity was/was not met on test/external, and what the</w:t>
      </w:r>
    </w:p>
    <w:p>
      <w:r>
        <w:t>Grad-CAM metrics do and do not license. Replace v3 Table VI with:]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Safeguard</w:t>
            </w:r>
          </w:p>
        </w:tc>
        <w:tc>
          <w:tcPr>
            <w:tcW w:type="dxa" w:w="2880"/>
          </w:tcPr>
          <w:p>
            <w:r>
              <w:t>v3</w:t>
            </w:r>
          </w:p>
        </w:tc>
        <w:tc>
          <w:tcPr>
            <w:tcW w:type="dxa" w:w="2880"/>
          </w:tcPr>
          <w:p>
            <w:r>
              <w:t>This revision</w:t>
            </w:r>
          </w:p>
        </w:tc>
      </w:tr>
      <w:tr>
        <w:tc>
          <w:tcPr>
            <w:tcW w:type="dxa" w:w="2880"/>
          </w:tcPr>
          <w:p>
            <w:r>
              <w:t>Patient/source-level split</w:t>
            </w:r>
          </w:p>
        </w:tc>
        <w:tc>
          <w:tcPr>
            <w:tcW w:type="dxa" w:w="2880"/>
          </w:tcPr>
          <w:p>
            <w:r>
              <w:t>Not applied</w:t>
            </w:r>
          </w:p>
        </w:tc>
        <w:tc>
          <w:tcPr>
            <w:tcW w:type="dxa" w:w="2880"/>
          </w:tcPr>
          <w:p>
            <w:r>
              <w:t>Grouped by MD5+pHash+stem; `[PENDING: verify]`</w:t>
            </w:r>
          </w:p>
        </w:tc>
      </w:tr>
      <w:tr>
        <w:tc>
          <w:tcPr>
            <w:tcW w:type="dxa" w:w="2880"/>
          </w:tcPr>
          <w:p>
            <w:r>
              <w:t>Independent test set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Yes, evaluated once</w:t>
            </w:r>
          </w:p>
        </w:tc>
      </w:tr>
      <w:tr>
        <w:tc>
          <w:tcPr>
            <w:tcW w:type="dxa" w:w="2880"/>
          </w:tcPr>
          <w:p>
            <w:r>
              <w:t>External validation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`[PENDING: dataset + result]`</w:t>
            </w:r>
          </w:p>
        </w:tc>
      </w:tr>
      <w:tr>
        <w:tc>
          <w:tcPr>
            <w:tcW w:type="dxa" w:w="2880"/>
          </w:tcPr>
          <w:p>
            <w:r>
              <w:t>Verified labels/boxes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`[PENDING: audit + reviewer outcome]`</w:t>
            </w:r>
          </w:p>
        </w:tc>
      </w:tr>
      <w:tr>
        <w:tc>
          <w:tcPr>
            <w:tcW w:type="dxa" w:w="2880"/>
          </w:tcPr>
          <w:p>
            <w:r>
              <w:t>Provenance/licences</w:t>
            </w:r>
          </w:p>
        </w:tc>
        <w:tc>
          <w:tcPr>
            <w:tcW w:type="dxa" w:w="2880"/>
          </w:tcPr>
          <w:p>
            <w:r>
              <w:t>Not recorded</w:t>
            </w:r>
          </w:p>
        </w:tc>
        <w:tc>
          <w:tcPr>
            <w:tcW w:type="dxa" w:w="2880"/>
          </w:tcPr>
          <w:p>
            <w:r>
              <w:t>Registry: `[PENDING]`</w:t>
            </w:r>
          </w:p>
        </w:tc>
      </w:tr>
      <w:tr>
        <w:tc>
          <w:tcPr>
            <w:tcW w:type="dxa" w:w="2880"/>
          </w:tcPr>
          <w:p>
            <w:r>
              <w:t>Calibration / target-sensitivity threshold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Temperature + frozen threshold</w:t>
            </w:r>
          </w:p>
        </w:tc>
      </w:tr>
      <w:tr>
        <w:tc>
          <w:tcPr>
            <w:tcW w:type="dxa" w:w="2880"/>
          </w:tcPr>
          <w:p>
            <w:r>
              <w:t>Quantitative Grad-CAM validation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Pointing game / energy / IoU / randomisation</w:t>
            </w:r>
          </w:p>
        </w:tc>
      </w:tr>
      <w:tr>
        <w:tc>
          <w:tcPr>
            <w:tcW w:type="dxa" w:w="2880"/>
          </w:tcPr>
          <w:p>
            <w:r>
              <w:t>Repeated runs / seeds</w:t>
            </w:r>
          </w:p>
        </w:tc>
        <w:tc>
          <w:tcPr>
            <w:tcW w:type="dxa" w:w="2880"/>
          </w:tcPr>
          <w:p>
            <w:r>
              <w:t>Single run</w:t>
            </w:r>
          </w:p>
        </w:tc>
        <w:tc>
          <w:tcPr>
            <w:tcW w:type="dxa" w:w="2880"/>
          </w:tcPr>
          <w:p>
            <w:r>
              <w:t>Seeds 0–2, mean ± SD</w:t>
            </w:r>
          </w:p>
        </w:tc>
      </w:tr>
    </w:tbl>
    <w:p>
      <w:pPr>
        <w:pStyle w:val="Heading1"/>
      </w:pPr>
      <w:r>
        <w:t>VII. Limitations</w:t>
      </w:r>
    </w:p>
    <w:p>
      <w:r>
        <w:t>[Keep only limitations that remain true after the rerun, e.g.: patient IDs</w:t>
      </w:r>
    </w:p>
    <w:p>
      <w:r>
        <w:t>unavailable so grouping is by source image, not patient; single external</w:t>
      </w:r>
    </w:p>
    <w:p>
      <w:r>
        <w:t>dataset; reviewer was/was not a clinician; binary task; per-region results</w:t>
      </w:r>
    </w:p>
    <w:p>
      <w:r>
        <w:t>only where anatomy is documented. Delete limitations the revision fixed —</w:t>
      </w:r>
    </w:p>
    <w:p>
      <w:r>
        <w:t>do not keep claiming a flaw that the new protocol removed, and do not claim</w:t>
      </w:r>
    </w:p>
    <w:p>
      <w:r>
        <w:t>a fix that the [PENDING] items have not yet evidenced.]</w:t>
      </w:r>
    </w:p>
    <w:p>
      <w:pPr>
        <w:pStyle w:val="Heading1"/>
      </w:pPr>
      <w:r>
        <w:t>VIII. Conclusion and Future Work</w:t>
      </w:r>
    </w:p>
    <w:p>
      <w:r>
        <w:t>[One paragraph bounded by the external result; next steps that remain:</w:t>
      </w:r>
    </w:p>
    <w:p>
      <w:r>
        <w:t>patient-level grouping where IDs exist, reader study, latency measurement,</w:t>
      </w:r>
    </w:p>
    <w:p>
      <w:r>
        <w:t>prospective evaluation.]</w:t>
      </w:r>
    </w:p>
    <w:p>
      <w:pPr>
        <w:pStyle w:val="Heading1"/>
      </w:pPr>
      <w:r>
        <w:t>Data and Code Availability</w:t>
      </w:r>
    </w:p>
    <w:p>
      <w:r>
        <w:t>[As v3, updated: code + split manifests + prediction CSVs + audit outputs</w:t>
      </w:r>
    </w:p>
    <w:p>
      <w:r>
        <w:t>in the repository; images not redistributed (licences in the registry).]</w:t>
      </w:r>
    </w:p>
    <w:p>
      <w:pPr>
        <w:pStyle w:val="Heading1"/>
      </w:pPr>
      <w:r>
        <w:t>References</w:t>
      </w:r>
    </w:p>
    <w:p>
      <w:r>
        <w:t>[v3 list; add dataset citations from the completed registry.]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