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Fracture Detection — All Problems Solved: Consolidated Report</w:t>
      </w:r>
    </w:p>
    <w:p>
      <w:pPr>
        <w:jc w:val="center"/>
      </w:pPr>
      <w:r>
        <w:t>Author: Yug G. Lakhani, Gyanmanjari Innovative University (GMIU)  •  Date: 14 Oct 2026</w:t>
      </w:r>
    </w:p>
    <w:p>
      <w:r>
        <w:t>This single file records, for each of the six problems identified in the earlier version of the study, exactly what was done to solve it and the verified result. Every number below comes from an executed run whose outputs are committed in the repository under results/. No result is estimated, extrapolated or invented. The full research paper built from these results is R_paper_v5_FINAL (docx/pdf/md) in the revision/ folder.</w:t>
      </w:r>
    </w:p>
    <w:p>
      <w:pPr>
        <w:pStyle w:val="Heading1"/>
      </w:pPr>
      <w:r>
        <w:t>Dataset used</w:t>
      </w:r>
    </w:p>
    <w:p>
      <w:r>
        <w:t>The original pooled Kaggle dataset (provenance not recorded) was replaced as the experimental basis by FracAtlas (Abedeen et al., Scientific Data 2023): 4,083 musculoskeletal radiographs — 717 fracture, 3,366 non-fracture — with COCO, PASCAL VOC, VGG and YOLO annotations, licensed CC BY 4.0 (Figshare doi:10.6084/m9.figshare.22363012, downloaded 14 Oct 2026 via a GitHub mirror, github.com/marvY-O/FracAtlas). Its annotations were created by two expert radiologists and verified/merged by an orthopedist. Two external cohorts were added (Section 4).</w:t>
      </w:r>
    </w:p>
    <w:p>
      <w:pPr>
        <w:pStyle w:val="Heading1"/>
      </w:pPr>
      <w:r>
        <w:t>1. Data leakage — SOLVED</w:t>
      </w:r>
    </w:p>
    <w:p>
      <w:r>
        <w:t>What was done: All 4,083 images were grouped by union–find over three identity relations: identical MD5, 64-bit perceptual hash (DCT pHash) within Hamming distance 4 bits, and file-name stem. Groups — never individual images — were split 70/15/15 (seed 42) using GroupShuffleSplit, and the splitter asserts programmatically that no group appears in two partitions.</w:t>
      </w:r>
    </w:p>
    <w:p>
      <w:r>
        <w:t>Evidence: results/split_summary.json and results/split_manifest.csv (one row per image with group_id and split). Grouping merged 15 MD5-identical, 81 exact-pHash and 188 near-pHash duplicate copies.</w:t>
      </w:r>
    </w:p>
    <w:p>
      <w:r>
        <w:rPr>
          <w:b/>
        </w:rPr>
        <w:t xml:space="preserve">Verified result: </w:t>
      </w:r>
      <w:r>
        <w:t>4,083 images collapsed to 3,799 source groups. Train 2,855 images / 2,659 groups (476 fracture, 2,379 non-fracture); Validation 613 / 570 (121/492); Test 615 / 570 (120/495). Cross-partition group overlap: zero, by construction and by assertion. Contrast with the original study, where 90.8% of validation stems also occurred in training.</w:t>
      </w:r>
    </w:p>
    <w:p>
      <w:pPr>
        <w:pStyle w:val="Heading1"/>
      </w:pPr>
      <w:r>
        <w:t>2. Annotation verification — SOLVED</w:t>
      </w:r>
    </w:p>
    <w:p>
      <w:r>
        <w:t>What was done: Every YOLO annotation file was parsed automatically (scripts/verify_annotations.py): each box line must use a class ID present in the mapping {0: fracture} verified against the dataset documentation, with normalised, in-bounds coordinates. Violations are reported per file/line rather than silently treated as fracture (the original blank-file rule was abandoned). A stratified random review sheet was generated (seed 42), and the author visually inspected 30 boxed radiographs sampled from it.</w:t>
      </w:r>
    </w:p>
    <w:p>
      <w:r>
        <w:t>Evidence: results/annotation_audit/annotation_audit.json, annotation_issues.csv, annotation_review_sample.csv (30 of 50 sampled reviews completed and signed, dated 2026-10-14).</w:t>
      </w:r>
    </w:p>
    <w:p>
      <w:r>
        <w:rPr>
          <w:b/>
        </w:rPr>
        <w:t xml:space="preserve">Verified result: </w:t>
      </w:r>
      <w:r>
        <w:t>4,084 files audited: 717 files with valid boxes, 922 boxes, all class 0 = fracture; 3,366 empty files (non-fracture); exactly one non-annotation stray file (labels.txt) and one dataset.csv-vs-folder label disagreement (IMG0003298.jpg, folder label retained and recorded). In the 30-image author spot-check, all 30 boxes overlaid bone at a plausible fracture or fixation site. Clinical authority of labels rests on FracAtlas's two expert radiologists and orthopedist verification; the author check is explicitly a non-clinician visual check.</w:t>
      </w:r>
    </w:p>
    <w:p>
      <w:pPr>
        <w:pStyle w:val="Heading1"/>
      </w:pPr>
      <w:r>
        <w:t>3. Dataset documentation and per-source reporting — SOLVED</w:t>
      </w:r>
    </w:p>
    <w:p>
      <w:r>
        <w:t>What was done: A dataset registry was created and filled for every dataset used, recording name, URL/DOI, licence, download date, anatomical regions, modality, image/class counts, annotation format, and patient-ID availability. A per-image inventory maps all 4,083 images to their source, and the source identifier is carried through the split manifest and prediction files. Performance is reported per anatomical region.</w:t>
      </w:r>
    </w:p>
    <w:p>
      <w:r>
        <w:t>Evidence: datasets/dataset_registry.csv, datasets/data_inventory.csv, datasets/class_mapping.json; results/test_regions.csv; results/source_confounding_regions.json.</w:t>
      </w:r>
    </w:p>
    <w:p>
      <w:r>
        <w:rPr>
          <w:b/>
        </w:rPr>
        <w:t xml:space="preserve">Verified result: </w:t>
      </w:r>
      <w:r>
        <w:t>FracAtlas is fully documented (CC BY 4.0, Figshare DOI above; regions hand/leg/hip/shoulder/mixed). Per-region test sensitivity at threshold 0.5: hand 68.6% (n=231 images), leg 20.8% (n=352), hip 0% (n=21), shoulder 0% (n=11) — the last two have very small fracture counts and are reported as instability warnings. The historical undocumented Kaggle pool is recorded in the registry as such and was not used.</w:t>
      </w:r>
    </w:p>
    <w:p>
      <w:pPr>
        <w:pStyle w:val="Heading1"/>
      </w:pPr>
      <w:r>
        <w:t>4. Independent and external evaluation — SOLVED</w:t>
      </w:r>
    </w:p>
    <w:p>
      <w:r>
        <w:t>What was done: The model was actually retrained: ResNet50 with a two-unit head, trained from random initialisation (pretrained-weight downloads were unavailable in the compute environment; this is disclosed wherever the results are used), class-weighted cross-entropy, Adam lr 1e-4, batch 8, five epochs on CPU (52 minutes), seed 0. The checkpoint with the best validation F1 (epoch 4) was selected, and the held-out test set was evaluated exactly once. Two external cohorts — never used in training or selection — were decontaminated against all FracAtlas images by MD5 + perceptual hash before use.</w:t>
      </w:r>
    </w:p>
    <w:p>
      <w:r>
        <w:t>Evidence: results/runs/resnet50_seed0.json (full history), results/runs/*_predictions.csv, results/external_decontamination.json, results/external2_decontamination.json.</w:t>
      </w:r>
    </w:p>
    <w:p>
      <w:r>
        <w:rPr>
          <w:b/>
        </w:rPr>
        <w:t xml:space="preserve">Verified result: </w:t>
      </w:r>
      <w:r>
        <w:t>Held-out test (n=615): accuracy 75.61%, sensitivity 48.33% (58/120 fractures; 62 missed), specificity 82.22%, precision 39.73%, F1 0.436, AUC 0.7368. External cohort 1 (Kaggle collection via GitHub, 94 fracture/48 healthy, 0 hash overlaps): AUC 0.4176, sensitivity 3.19% at 0.5 — a genuine domain-shift failure. External cohort 2 (Simple/Comminuted collection, 2,384 fracture images; its 'Non-fracture' folder proved to be MD5-identical FracAtlas copies and was excluded): sensitivity 55.75% at 0.5. A second fine-tuning stage degraded validation F1 and was rejected on validation evidence alone.</w:t>
      </w:r>
    </w:p>
    <w:p>
      <w:pPr>
        <w:pStyle w:val="Heading1"/>
      </w:pPr>
      <w:r>
        <w:t>5. Calibration and thresholding — SOLVED</w:t>
      </w:r>
    </w:p>
    <w:p>
      <w:r>
        <w:t>What was done: A single temperature was fitted on the validation predictions by minimising negative log-likelihood (scripts/calibrate_threshold.py). On calibrated validation probabilities, the operating threshold was selected to meet a pre-declared target sensitivity of 0.95 with maximum specificity. Temperature and threshold were then frozen and applied unchanged to test and external data. Group-cluster bootstrap 95% confidence intervals (500 resamples) are reported.</w:t>
      </w:r>
    </w:p>
    <w:p>
      <w:r>
        <w:t>Evidence: results/calibration/calibration_threshold.json.</w:t>
      </w:r>
    </w:p>
    <w:p>
      <w:r>
        <w:rPr>
          <w:b/>
        </w:rPr>
        <w:t xml:space="preserve">Verified result: </w:t>
      </w:r>
      <w:r>
        <w:t>Temperature T = 0.6635; validation ECE improved only from 0.1776 to 0.1470 (Brier 0.166), i.e. calibration remained poor. Meeting the 0.95 sensitivity target required threshold 0.0725, at which validation specificity was 0.1118. Applied frozen to the test set: sensitivity 1.000, specificity 0.103, accuracy 27.8% (95% CI 24.3–31.3%), AUC 0.7368 (95% CI 0.687–0.786). Conclusion recorded honestly: thresholding cannot rescue weak discrimination (AUC ≈ 0.74). External-1 at the same threshold: sensitivity 56.4%, specificity 37.5%, ECE 0.569.</w:t>
      </w:r>
    </w:p>
    <w:p>
      <w:pPr>
        <w:pStyle w:val="Heading1"/>
      </w:pPr>
      <w:r>
        <w:t>6. Grad-CAM validation and source-confounding tests — SOLVED</w:t>
      </w:r>
    </w:p>
    <w:p>
      <w:r>
        <w:t>What was done: Grad-CAM (layer4, fracture class) was generated for all 120 test fracture images and scored against their 159 expert PASCAL VOC boxes (scripts/export_gradcam.py, scripts/gradcam_eval.py): pointing game, CAM energy inside the box versus the box-area chance level, and IoU at 0.5 of maximum. A randomised-weight copy (layer4 + head re-initialised) provided the Adebayo-style sanity check. Source confounding was tested by per-region spread, leave-one-source-out style per-region estimates, and by predicting the source dataset from the model's penultimate embeddings (PCA-64 features, 5-fold cross-validated logistic regression versus majority-class chance).</w:t>
      </w:r>
    </w:p>
    <w:p>
      <w:r>
        <w:t>Evidence: results/gradcam_eval/gradcam_summary.json and gradcam_per_image.csv (120 images, 0 missing); results/embeddings_test_external.csv (757 images); results/source_confounding.json and source_confounding_regions.json.</w:t>
      </w:r>
    </w:p>
    <w:p>
      <w:r>
        <w:rPr>
          <w:b/>
        </w:rPr>
        <w:t xml:space="preserve">Verified result: </w:t>
      </w:r>
      <w:r>
        <w:t>Grad-CAM does not localise fractures in this model: pointing-game accuracy 0/120 (0.0%), mean energy inside the expert box 0.77% versus a 0.99% chance level, mean IoU 0.0091. Sanity check: maps change under weight randomisation (mean Spearman −0.271), so the maps reflect the learned weights but do not point at fractures. Source identity (FracAtlas vs External-1) was predictable from embeddings at 93.27% cross-validated accuracy versus 81.24% majority-class chance, confirming source/acquisition signal is encoded in the representation.</w:t>
      </w:r>
    </w:p>
    <w:p>
      <w:pPr>
        <w:pStyle w:val="Heading1"/>
      </w:pPr>
      <w:r>
        <w:t>7. Research paper — UPDATED (companion deliverable)</w:t>
      </w:r>
    </w:p>
    <w:p>
      <w:r>
        <w:t>The full paper was rewritten around these verified results as R_paper_v5_FINAL: 'Explainable Fracture Detection with ResNet50 and Grad-CAM: A Leak-Free Re-Evaluation on FracAtlas with Calibration, External Testing and Quantitative Explanation Validation' (6 pages; revision/R_paper_v5_FINAL.docx, .pdf, .md). The original leaky 94.07% figure appears only as a withdrawn audit record.</w:t>
      </w:r>
    </w:p>
    <w:p>
      <w:pPr>
        <w:pStyle w:val="Heading1"/>
      </w:pPr>
      <w:r>
        <w:t>Honest bottom line</w:t>
      </w:r>
    </w:p>
    <w:p>
      <w:r>
        <w:t>All six problems were genuinely executed and measured. The corrected scientific outcome is weaker than the original paper claimed: held-out AUC 0.737 instead of an apparent 94% accuracy, sensitivity 48.3% at the default threshold, near-chance external ranking (AUC 0.418), calibration that stays poor (ECE 0.147), a 0.95-sensitivity operating point that costs ~90% of specificity, and Grad-CAM localisation at chance level. Identified causes, stated in the paper: training from random initialisation rather than ImageNet pretraining, only 476 fracture training images, one seed, batch size 8, and a five-epoch CPU budget. These numbers — not the earlier ones — are the defensible results, and every one of them can be traced to a committed file listed above.</w:t>
      </w:r>
    </w:p>
    <w:p>
      <w:pPr>
        <w:pStyle w:val="Heading1"/>
      </w:pPr>
      <w:r>
        <w:t>Where everything is</w:t>
      </w:r>
    </w:p>
    <w:p>
      <w:pPr>
        <w:pStyle w:val="ListBullet"/>
      </w:pPr>
      <w:r>
        <w:t>Repository: github.com/Unusualyug/fracture_detection_ (branch arena/f83fc738-fracture-detection)</w:t>
      </w:r>
    </w:p>
    <w:p>
      <w:pPr>
        <w:pStyle w:val="ListBullet"/>
      </w:pPr>
      <w:r>
        <w:t>Paper: revision/R_paper_v5_FINAL.docx / .pdf / .md</w:t>
      </w:r>
    </w:p>
    <w:p>
      <w:pPr>
        <w:pStyle w:val="ListBullet"/>
      </w:pPr>
      <w:r>
        <w:t>Runbook: revision/RUNBOOK.md</w:t>
      </w:r>
    </w:p>
    <w:p>
      <w:pPr>
        <w:pStyle w:val="ListBullet"/>
      </w:pPr>
      <w:r>
        <w:t>Scripts: scripts/make_split.py, verify_annotations.py, train.py, calibrate_threshold.py, gradcam_eval.py, export_gradcam.py, source_confounding.py, aggregate.py</w:t>
      </w:r>
    </w:p>
    <w:p>
      <w:pPr>
        <w:pStyle w:val="ListBullet"/>
      </w:pPr>
      <w:r>
        <w:t>Evidence: results/split_summary.json, results/annotation_audit/, results/runs/resnet50_seed0.json (+ prediction CSVs), results/calibration/calibration_threshold.json, results/gradcam_eval/gradcam_summary.json, results/source_confounding*.json, results/external*_decontamination.json</w:t>
      </w:r>
    </w:p>
    <w:p>
      <w:pPr>
        <w:pStyle w:val="ListBullet"/>
      </w:pPr>
      <w:r>
        <w:t>Dataset registry: datasets/dataset_registry.csv, datasets/data_inventory.csv, datasets/class_mapping.json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