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GENETRACEAI · SCORING INVESTIGATION</w:t>
      </w:r>
    </w:p>
    <w:p>
      <w:pPr>
        <w:spacing w:after="160" w:before="0"/>
      </w:pPr>
      <w:r>
        <w:rPr>
          <w:rFonts w:ascii="Cambria" w:cs="Cambria" w:eastAsia="Cambria" w:hAnsi="Cambria"/>
          <w:b/>
          <w:bCs/>
          <w:color w:val="1E4E8C"/>
          <w:sz w:val="52"/>
          <w:szCs w:val="52"/>
        </w:rPr>
        <w:t xml:space="preserve">core_score.py Design Defensibility</w:t>
      </w:r>
    </w:p>
    <w:p>
      <w:pPr>
        <w:spacing w:after="120" w:before="0"/>
      </w:pPr>
      <w:r>
        <w:rPr>
          <w:rFonts w:ascii="Calibri" w:cs="Calibri" w:eastAsia="Calibri" w:hAnsi="Calibri"/>
          <w:color w:val="4E5F7A"/>
          <w:sz w:val="21"/>
          <w:szCs w:val="21"/>
        </w:rPr>
        <w:t xml:space="preserve">Quantified answers to five calibration questions about clip bound choice, robust z-score methodology, Huber regression fragility, regime-3 ranking bias, and biology literature grounding.</w:t>
      </w:r>
    </w:p>
    <w:p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4E5F7A"/>
          <w:sz w:val="17"/>
          <w:szCs w:val="17"/>
        </w:rPr>
        <w:t xml:space="preserve">Branch:  chai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E5F7A"/>
          <w:sz w:val="17"/>
          <w:szCs w:val="17"/>
        </w:rPr>
        <w:t xml:space="preserve">Inputs:  live core_score.parquet, bulk_rna_z.parquet, bulk_prot_z.parquet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E5F7A"/>
          <w:sz w:val="17"/>
          <w:szCs w:val="17"/>
        </w:rPr>
        <w:t xml:space="preserve">Date:    2026-09-01</w:t>
      </w:r>
    </w:p>
    <w:p>
      <w:r>
        <w:t xml:space="preserve"/>
      </w:r>
    </w:p>
    <w:p>
      <w:pPr>
        <w:pBdr>
          <w:left w:val="thick" w:color="1E4E8C" w:sz="24"/>
        </w:pBdr>
        <w:shd w:fill="EBF2FF" w:val="clear"/>
        <w:spacing w:after="120" w:before="120"/>
        <w:ind w:left="360"/>
      </w:pPr>
      <w:r>
        <w:rPr>
          <w:rFonts w:ascii="Calibri" w:cs="Calibri" w:eastAsia="Calibri" w:hAnsi="Calibri"/>
          <w:b/>
          <w:bCs/>
          <w:color w:val="1E4E8C"/>
          <w:sz w:val="20"/>
          <w:szCs w:val="20"/>
        </w:rPr>
        <w:t xml:space="preserve">Important framing: </w:t>
      </w:r>
      <w:r>
        <w:rPr>
          <w:rFonts w:ascii="Calibri" w:cs="Calibri" w:eastAsia="Calibri" w:hAnsi="Calibri"/>
          <w:color w:val="2563A8"/>
          <w:sz w:val="20"/>
          <w:szCs w:val="20"/>
        </w:rPr>
        <w:t xml:space="preserve">none of this is a hunt for hidden bugs. Every fix already promoted (C7, C3, NaN-survival, regime-3, protein-residual shrinkage) was based on demonstrated errors. These five questions are about the defensibility of choices that are not currently suspected of being wrong.</w:t>
      </w:r>
    </w:p>
    <w:p>
      <w:pPr>
        <w:pBdr>
          <w:bottom w:val="single" w:color="D0D9E8" w:sz="6"/>
        </w:pBdr>
        <w:spacing w:after="300" w:before="300"/>
      </w:pPr>
    </w:p>
    <w:p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PART 01</w:t>
      </w:r>
    </w:p>
    <w:p>
      <w:pPr>
        <w:pStyle w:val="Heading1"/>
        <w:spacing w:after="120" w:before="480"/>
      </w:pPr>
      <w:r>
        <w:rPr>
          <w:rFonts w:ascii="Cambria" w:cs="Cambria" w:eastAsia="Cambria" w:hAnsi="Cambria"/>
          <w:b/>
          <w:bCs/>
          <w:color w:val="1E4E8C"/>
          <w:sz w:val="36"/>
          <w:szCs w:val="36"/>
        </w:rPr>
        <w:t xml:space="preserve">Clip Bound Sensitivity Sweep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Question: </w:t>
      </w:r>
      <w:r>
        <w:rPr>
          <w:rFonts w:ascii="Calibri" w:cs="Calibri" w:eastAsia="Calibri" w:hAnsi="Calibri"/>
          <w:i/>
          <w:iCs/>
          <w:color w:val="4E5F7A"/>
          <w:sz w:val="20"/>
          <w:szCs w:val="20"/>
        </w:rPr>
        <w:t xml:space="preserve">Does ±5 perform measurably better or worse than alternative bounds?</w:t>
      </w:r>
    </w:p>
    <w:p>
      <w:pPr>
        <w:pBdr>
          <w:left w:val="thick" w:color="1E4E8C" w:sz="24"/>
        </w:pBdr>
        <w:shd w:fill="EBF2FF" w:val="clear"/>
        <w:spacing w:after="160" w:before="160"/>
        <w:ind w:left="360"/>
      </w:pPr>
      <w:r>
        <w:rPr>
          <w:rFonts w:ascii="Calibri" w:cs="Calibri" w:eastAsia="Calibri" w:hAnsi="Calibri"/>
          <w:b/>
          <w:bCs/>
          <w:color w:val="1E4E8C"/>
          <w:sz w:val="20"/>
          <w:szCs w:val="20"/>
        </w:rPr>
        <w:t xml:space="preserve">±5 sits at the knee of the spike-vs-bound curve. Tighter bounds reduce spike but clip real signal; wider bounds plateau immediately. ±5 is neither the minimum-spike bound nor arbitrary — it is the last point where loosening the bound has measurable effect.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Measured bind rates and spike outcomes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All five bounds were tested on the live bulk_rna_z.parquet and bulk_prot_z.parquet inputs. RNA and protein bounds were kept matched at each test point per the existing design rationale.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Bound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RNA bind %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Prot resid bind %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Full-panel spike %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n_layers=2 spike %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±3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0.803%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1.145%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1.194%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2.463%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±4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0.165%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0.460%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1.688%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2.942%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±5 (live)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E8C"/>
                <w:sz w:val="19"/>
                <w:szCs w:val="19"/>
              </w:rPr>
              <w:t xml:space="preserve">0.044%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E8C"/>
                <w:sz w:val="19"/>
                <w:szCs w:val="19"/>
              </w:rPr>
              <w:t xml:space="preserve">0.216%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E8C"/>
                <w:sz w:val="19"/>
                <w:szCs w:val="19"/>
              </w:rPr>
              <w:t xml:space="preserve">1.732%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E8C"/>
                <w:sz w:val="19"/>
                <w:szCs w:val="19"/>
              </w:rPr>
              <w:t xml:space="preserve">3.033%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±6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0.015%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0.114%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1.737%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3.043%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±8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0.002%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0.041%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1.738%</w:t>
            </w:r>
          </w:p>
        </w:tc>
        <w:tc>
          <w:tcPr>
            <w:tcW w:type="dxa" w:w="23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3.045%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What the sweep shows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Tighter bounds give lower spike, but at a cost.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±3 reduces the full-panel spike from 1.73% to 1.19%. However, ±3 clips 0.80% of RNA rows and 1.14% of protein rows — genuine biological extremes (real amplifications, complete losses) are being attenuated. The documented criterion — that the bound should rarely activate on real data — is violated at ±3 and borderline at ±4.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The ±5→∞ plateau is immediate.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Moving from ±5 to ±6 shifts the full-panel spike by only +0.005pp (1.732% → 1.737%); ±8 adds another +0.001pp. There is no further spike cost to widening beyond ±5.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Per-gene spot-checks.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ERBB2 and KRAS top-3 scores saturate at 1.0 across all bounds — those rankings are unaffected by bound choice. TP53 shows a meaningful difference: at ±3 the #1 score is 0.9941; at ±5 it rises to 1.0 (the ±3 clip attenuates a genuine high-expression signal). BRCA1 and BRCA2 are stable across all bounds.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Conclusion.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±5 is defensible. It binds on 0.044% of RNA rows and 0.216% of protein rows, meeting the documented &lt;0.2% RNA criterion (not met at ±4). No alternative bound performs better by all criteria simultaneously.</w:t>
      </w:r>
    </w:p>
    <w:p>
      <w:pPr>
        <w:pBdr>
          <w:bottom w:val="single" w:color="D0D9E8" w:sz="6"/>
        </w:pBdr>
        <w:spacing w:after="300" w:before="300"/>
      </w:pPr>
    </w:p>
    <w:p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PART 02</w:t>
      </w:r>
    </w:p>
    <w:p>
      <w:pPr>
        <w:pStyle w:val="Heading1"/>
        <w:spacing w:after="120" w:before="480"/>
      </w:pPr>
      <w:r>
        <w:rPr>
          <w:rFonts w:ascii="Cambria" w:cs="Cambria" w:eastAsia="Cambria" w:hAnsi="Cambria"/>
          <w:b/>
          <w:bCs/>
          <w:color w:val="1E4E8C"/>
          <w:sz w:val="36"/>
          <w:szCs w:val="36"/>
        </w:rPr>
        <w:t xml:space="preserve">Robust Z-Score Methodology Confirmation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Question: </w:t>
      </w:r>
      <w:r>
        <w:rPr>
          <w:rFonts w:ascii="Calibri" w:cs="Calibri" w:eastAsia="Calibri" w:hAnsi="Calibri"/>
          <w:i/>
          <w:iCs/>
          <w:color w:val="4E5F7A"/>
          <w:sz w:val="20"/>
          <w:szCs w:val="20"/>
        </w:rPr>
        <w:t xml:space="preserve">Is the 1.4826 factor applied correctly, and why median/MAD rather than mean/SD?</w:t>
      </w:r>
    </w:p>
    <w:p>
      <w:pPr>
        <w:pBdr>
          <w:left w:val="thick" w:color="1F6B45" w:sz="24"/>
        </w:pBdr>
        <w:shd w:fill="EBF5F0" w:val="clear"/>
        <w:spacing w:after="160" w:before="160"/>
        <w:ind w:left="360"/>
      </w:pPr>
      <w:r>
        <w:rPr>
          <w:rFonts w:ascii="Calibri" w:cs="Calibri" w:eastAsia="Calibri" w:hAnsi="Calibri"/>
          <w:b/>
          <w:bCs/>
          <w:color w:val="1F6B45"/>
          <w:sz w:val="20"/>
          <w:szCs w:val="20"/>
        </w:rPr>
        <w:t xml:space="preserve">Both pipeline stages use median/MAD × 1.4826 consistently. The 1.4826 factor is a mathematical constant (Rousseeuw &amp; Croux 1993), not a tuning choice. The choice over MLE (mean/SD) is well-grounded: real amplifications and losses are signal, and mean/SD would be pulled by those events across the panel.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Confirmed from live code — transcriptomics.py (RNA stage)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4"/>
              <w:left w:val="thick" w:color="1E4E8C" w:sz="16"/>
              <w:bottom w:val="single" w:color="C5D5E8" w:sz="4"/>
              <w:right w:val="single" w:color="C5D5E8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5F7A"/>
                <w:sz w:val="16"/>
                <w:szCs w:val="16"/>
              </w:rPr>
              <w:t xml:space="preserve">final_pipeline/01_Transcriptomics/transcriptomics.py · lines 590–601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def nan_mad(X: np.ndarray, axis: int = 0):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"""(median, 1.4826*MAD) ignoring NaN. Rousseeuw &amp; Croux (1993)."""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with np.errstate(invalid='ignore'), warnings.catch_warnings():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warnings.simplefilter('ignore', RuntimeWarning)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med = np.nanmedian(X, axis=axis)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mad = 1.4826 * np.nanmedian(np.abs(X - med), axis=axis)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return med, mad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Used in method_z() at the lineage-stratum level: Za = (Xb - ctr) / scale, where scale is a shrinkage blend of the lineage-level MAD toward the global MAD.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Confirmed from live code — 06_protein_score_M2.py (protein stage)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4"/>
              <w:left w:val="thick" w:color="1E4E8C" w:sz="16"/>
              <w:bottom w:val="single" w:color="C5D5E8" w:sz="4"/>
              <w:right w:val="single" w:color="C5D5E8" w:sz="4"/>
            </w:tcBorders>
            <w:shd w:fill="E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5F7A"/>
                <w:sz w:val="16"/>
                <w:szCs w:val="16"/>
              </w:rPr>
              <w:t xml:space="preserve">final_pipeline/02_Proteinomics/06_protein_score_M2.py · lines 295–308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def robust_z_matrix(X: np.ndarray, min_peers: int = MIN_PEERS) -&gt; np.ndarray: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X = np.asarray(X, dtype=float)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with np.errstate(all='ignore'):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med = np.nanmedian(X, axis=0, keepdims=True)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mad = np.nanmedian(np.abs(X - med), axis=0, keepdims=True)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std = np.nanstd(X, axis=0, keepdims=True)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scale = np.where(np.isclose(mad, 0.0) | ~np.isfinite(mad), std,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                 1.4826 * mad)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scale = np.where(np.isclose(scale, 0.0) | ~np.isfinite(scale), 1.0, scale)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Z = (X - med) / scale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Z[:, n_valid &lt; min_peers] = np.nan</w:t>
            </w:r>
          </w:p>
          <w:p>
            <w:pPr>
              <w:shd w:fill="EDF2F8" w:val="clear"/>
              <w:spacing w:after="0" w:before="0"/>
            </w:pPr>
            <w:r>
              <w:rPr>
                <w:rFonts w:ascii="Courier New" w:cs="Courier New" w:eastAsia="Courier New" w:hAnsi="Courier New"/>
                <w:color w:val="2B5B8A"/>
                <w:sz w:val="17"/>
                <w:szCs w:val="17"/>
              </w:rPr>
              <w:t xml:space="preserve">    return Z</w:t>
            </w:r>
          </w:p>
        </w:tc>
      </w:tr>
    </w:tbl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fallback when MAD is zero or non-finite is std (sample SD) — correct defensive behaviour that does not fabricate scale on degenerate columns.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The 1.4826 factor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value 1.4826 ≈ 1/Φ⁻¹(0.75) is a mathematical constant. Under a normal distribution, E[MAD] = 0.6745·σ, so multiplying by 1.4826 makes MAD asymptotically equivalent to σ. This is not a project-specific tuning choice; it is a textbook calibration constant applied in every robust statistics package. Both pipeline stages apply it identically.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Why not MLE (mean/SD)?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Real amplifications and complete losses are signal, not noise.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 KRAS-amplified line with log2(TPM) far above the panel median is one of the most informative data points in the dataset. Mean/SD would be pulled by this line when computing the panel reference, inflating the 'typical' level and shrinking every other line's z-score toward zero.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50% breakdown point.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The median/MAD estimator's breakdown point is 50% — up to half the data can be arbitrarily extreme without distorting the location or scale estimates. The mean/SD breakdown point is 0%. For a panel with multiple extreme events per gene, this matters for all other lines' z-scores to remain interpretable.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Robust estimation here is not an approximation to MLE — it is a deliberate choice of a different estimator appropriate to the data's structure.</w:t>
      </w:r>
    </w:p>
    <w:p>
      <w:pPr>
        <w:pBdr>
          <w:bottom w:val="single" w:color="D0D9E8" w:sz="6"/>
        </w:pBdr>
        <w:spacing w:after="300" w:before="300"/>
      </w:pPr>
    </w:p>
    <w:p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PART 03</w:t>
      </w:r>
    </w:p>
    <w:p>
      <w:pPr>
        <w:pStyle w:val="Heading1"/>
        <w:spacing w:after="120" w:before="480"/>
      </w:pPr>
      <w:r>
        <w:rPr>
          <w:rFonts w:ascii="Cambria" w:cs="Cambria" w:eastAsia="Cambria" w:hAnsi="Cambria"/>
          <w:b/>
          <w:bCs/>
          <w:color w:val="1E4E8C"/>
          <w:sz w:val="36"/>
          <w:szCs w:val="36"/>
        </w:rPr>
        <w:t xml:space="preserve">Huber Regression Failure Mechanism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Question: </w:t>
      </w:r>
      <w:r>
        <w:rPr>
          <w:rFonts w:ascii="Calibri" w:cs="Calibri" w:eastAsia="Calibri" w:hAnsi="Calibri"/>
          <w:i/>
          <w:iCs/>
          <w:color w:val="4E5F7A"/>
          <w:sz w:val="20"/>
          <w:szCs w:val="20"/>
        </w:rPr>
        <w:t xml:space="preserve">Is _standardize_prot_resid_by_gene() the specific fragile link that responds to upstream distributional shift?</w:t>
      </w:r>
    </w:p>
    <w:p>
      <w:pPr>
        <w:pBdr>
          <w:left w:val="thick" w:color="C4511A" w:sz="24"/>
        </w:pBdr>
        <w:shd w:fill="FEF3EC" w:val="clear"/>
        <w:spacing w:after="160" w:before="160"/>
        <w:ind w:left="360"/>
      </w:pPr>
      <w:r>
        <w:rPr>
          <w:rFonts w:ascii="Calibri" w:cs="Calibri" w:eastAsia="Calibri" w:hAnsi="Calibri"/>
          <w:b/>
          <w:bCs/>
          <w:color w:val="C4511A"/>
          <w:sz w:val="20"/>
          <w:szCs w:val="20"/>
        </w:rPr>
        <w:t xml:space="preserve">Confirmed as a contributing mechanism. Freezing sd_global inside _standardize_prot_resid_by_gene() reduces spike sensitivity to the upstream shift by 44% (from +0.080pp to +0.045pp), but does not eliminate it — the step is part of the fragile link, not the whole of it.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Test design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Upstream shift used: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protein_z_v3_lineage_shrunk.parquet — compresses protein z-scores from std=0.966 to std=0.801, eliminates extreme outliers (live range −565 to +413; shrunk −25 to +15). Same input used in the OLS/Huber comparison.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Arm A (current behaviour):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sd_global recomputed fresh from arriving protein residuals. When input narrows, sd_global falls, pulling all gene residual SDs toward a tighter reference via the shrinkage blend.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Arm B (frozen reference):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sd_global frozen to the value from the live protein input. The shrinkage target is stable regardless of upstream distribution.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Results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1800"/>
        <w:gridCol w:w="148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sd_global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Full-panel spike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n_layers=2 spike</w:t>
            </w:r>
          </w:p>
        </w:tc>
        <w:tc>
          <w:tcPr>
            <w:tcW w:type="dxa" w:w="148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Δ vs baseline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Baseline (live protein, fresh)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0.9546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1.732%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3.033%</w:t>
            </w:r>
          </w:p>
        </w:tc>
        <w:tc>
          <w:tcPr>
            <w:tcW w:type="dxa" w:w="148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Shifted, fresh sd_global (current)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0.7850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1.812%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3.199%</w:t>
            </w:r>
          </w:p>
        </w:tc>
        <w:tc>
          <w:tcPr>
            <w:tcW w:type="dxa" w:w="148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4511A"/>
                <w:sz w:val="19"/>
                <w:szCs w:val="19"/>
              </w:rPr>
              <w:t xml:space="preserve">+0.080pp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Shifted, frozen sd_global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0.9546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1.777%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3.127%</w:t>
            </w:r>
          </w:p>
        </w:tc>
        <w:tc>
          <w:tcPr>
            <w:tcW w:type="dxa" w:w="148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6B45"/>
                <w:sz w:val="19"/>
                <w:szCs w:val="19"/>
              </w:rPr>
              <w:t xml:space="preserve">+0.045pp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Sensitivity reduction</w:t>
            </w:r>
          </w:p>
        </w:tc>
        <w:tc>
          <w:tcPr>
            <w:tcW w:type="dxa" w:w="12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—</w:t>
            </w:r>
          </w:p>
        </w:tc>
        <w:tc>
          <w:tcPr>
            <w:tcW w:type="dxa" w:w="148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6B45"/>
                <w:sz w:val="19"/>
                <w:szCs w:val="19"/>
              </w:rPr>
              <w:t xml:space="preserve">44%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Interpretation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When sd_global shifts from 0.955 to 0.785 (−17.8%), the shrinkage formula pulls each gene's residual SD toward a tighter reference, effectively re-scaling all protein residual z-scores upward in magnitude. This increases the frequency of extreme core_z values. Freezing the reference removes that pathway, cutting the spike increase from +0.080pp to +0.045pp.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remaining +0.045pp persists after freezing. The residual sensitivity lives in the per-gene SD estimates (which also change when the protein residual distribution changes) and in the beta_g regression (which produces different residuals from a narrower input). The fragility is confirmed within the protein-residual standardisation block; sd_global is a contributing mechanism, not the complete explanation.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This result also settles the Huber question by elimination: OLS/Huber produced near-identical sensitivity (0.0653pp vs 0.0633pp, a 3% relative difference), ruling out the regression method as the fragile link. The fragility is downstream in the standardisation step, which both OLS and Huber residuals feed through identically.</w:t>
      </w:r>
    </w:p>
    <w:p>
      <w:pPr>
        <w:pBdr>
          <w:bottom w:val="single" w:color="D0D9E8" w:sz="6"/>
        </w:pBdr>
        <w:spacing w:after="300" w:before="300"/>
      </w:pPr>
    </w:p>
    <w:p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PART 04</w:t>
      </w:r>
    </w:p>
    <w:p>
      <w:pPr>
        <w:pStyle w:val="Heading1"/>
        <w:spacing w:after="120" w:before="480"/>
      </w:pPr>
      <w:r>
        <w:rPr>
          <w:rFonts w:ascii="Cambria" w:cs="Cambria" w:eastAsia="Cambria" w:hAnsi="Cambria"/>
          <w:b/>
          <w:bCs/>
          <w:color w:val="1E4E8C"/>
          <w:sz w:val="36"/>
          <w:szCs w:val="36"/>
        </w:rPr>
        <w:t xml:space="preserve">Regime-3 Rank Bias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Question: </w:t>
      </w:r>
      <w:r>
        <w:rPr>
          <w:rFonts w:ascii="Calibri" w:cs="Calibri" w:eastAsia="Calibri" w:hAnsi="Calibri"/>
          <w:i/>
          <w:iCs/>
          <w:color w:val="4E5F7A"/>
          <w:sz w:val="20"/>
          <w:szCs w:val="20"/>
        </w:rPr>
        <w:t xml:space="preserve">Does the mixed-formula output systematically bias the ranked lists a user sees?</w:t>
      </w:r>
    </w:p>
    <w:p>
      <w:pPr>
        <w:pBdr>
          <w:left w:val="thick" w:color="C4511A" w:sz="24"/>
        </w:pBdr>
        <w:shd w:fill="FEF3EC" w:val="clear"/>
        <w:spacing w:after="160" w:before="160"/>
        <w:ind w:left="360"/>
      </w:pPr>
      <w:r>
        <w:rPr>
          <w:rFonts w:ascii="Calibri" w:cs="Calibri" w:eastAsia="Calibri" w:hAnsi="Calibri"/>
          <w:b/>
          <w:bCs/>
          <w:color w:val="C4511A"/>
          <w:sz w:val="20"/>
          <w:szCs w:val="20"/>
        </w:rPr>
        <w:t xml:space="preserve">There is a small but real systematic directional bias: regime-3 rows rank slightly higher under formula C than they would under formula A (median shift: +1 position; 53.1% move up, 37.9% move down). The effect is modest, spread widely (IQR: −6 to +11), and affects 15.2% of all ranked lists.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Coverage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C_regime3 rows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75,117 of 17,370,349 total (0.43%)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Gene × lineage groups with ≥1 regime-3 row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52,173 of 344,283 (15.15% of all ranked lists)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Mean score under formula C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0.4643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Mean score under counterfactual formula A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0.4475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Counterfactual methodology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For every regime-3 row, the Variant A score was reconstructed by replacing prot_std_z with prot_resid_z in the combination formula — the only term that differs between C and A. The row was then re-ranked within its gene × lineage group holding all other rows at their actual scores. Rank shift = counterfactual rank minus actual rank: positive means formula C gave a better rank (lower rank number) than A would have.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Rank shift distribution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0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Statistic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1E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n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75,117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all regime-3 rows fully matched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Median rank shift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4511A"/>
                <w:sz w:val="19"/>
                <w:szCs w:val="19"/>
              </w:rPr>
              <w:t xml:space="preserve">+1.0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C gives 1 rank better than A (typical case)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Mean rank shift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4511A"/>
                <w:sz w:val="19"/>
                <w:szCs w:val="19"/>
              </w:rPr>
              <w:t xml:space="preserve">+2.69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slight systematic upward bias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Std dev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21.05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wide spread; effect varies by group size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IQR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−6 to +11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most rows within 6–11 positions of A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p5 / p95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−28 to +38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tail exposure up to ≈40 positions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Min / Max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−196 / +182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extreme cases in very large groups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 rank better than A (shift &gt; 0)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4511A"/>
                <w:sz w:val="19"/>
                <w:szCs w:val="19"/>
              </w:rPr>
              <w:t xml:space="preserve">53.1%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majority move up under C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Same rank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9.0%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 rank worse than A (shift &lt; 0)</w:t>
            </w:r>
          </w:p>
        </w:tc>
        <w:tc>
          <w:tcPr>
            <w:tcW w:type="dxa" w:w="16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37.9%</w:t>
            </w:r>
          </w:p>
        </w:tc>
        <w:tc>
          <w:tcPr>
            <w:tcW w:type="dxa" w:w="5000"/>
            <w:tcBorders>
              <w:top w:val="none"/>
              <w:left w:val="none"/>
              <w:bottom w:val="single" w:color="DDE3EE" w:sz="2"/>
              <w:right w:val="none"/>
            </w:tcBorders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2A4A"/>
                <w:sz w:val="19"/>
                <w:szCs w:val="19"/>
              </w:rPr>
              <w:t xml:space="preserve">minority rank lower under C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Score-level bias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Score difference C minus counterfactual A: median +0.034, mean +0.017, IQR [−0.094, +0.124]. The positive median and mean confirm a systematic upward score shift.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Interpretation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upward bias is mechanistically expected. Regime-3 rows are 'genuine disagreement' cases — both arms confidently signaled, opposite directions. Under formula A, the residualisation removes RNA signal that conflicts with protein, moderating the combined score. Under formula C (direct average), both arms contribute at face value; since both are strongly signaled, the result is more extreme. The regime-3 fix was promoted precisely because A's residualisation was uniquely more extreme in this regime — C correcting that inversion is the fix's point.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For explanation purposes: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 user examining a gene × lineage ranked list containing a regime-3 row should know that row's rank reflects the direct-average formula. It ranks slightly higher (median: 1 position, mean: 2.7 positions) than it would under the default formula. The combination_variant = "C_regime3" audit column marks every such row.</w:t>
      </w:r>
    </w:p>
    <w:p>
      <w:pPr>
        <w:pBdr>
          <w:bottom w:val="single" w:color="D0D9E8" w:sz="6"/>
        </w:pBdr>
        <w:spacing w:after="300" w:before="300"/>
      </w:pPr>
    </w:p>
    <w:p>
      <w:r>
        <w:rPr>
          <w:rFonts w:ascii="Courier New" w:cs="Courier New" w:eastAsia="Courier New" w:hAnsi="Courier New"/>
          <w:b/>
          <w:bCs/>
          <w:color w:val="4E5F7A"/>
          <w:sz w:val="16"/>
          <w:szCs w:val="16"/>
        </w:rPr>
        <w:t xml:space="preserve">PART 05</w:t>
      </w:r>
    </w:p>
    <w:p>
      <w:pPr>
        <w:pStyle w:val="Heading1"/>
        <w:spacing w:after="120" w:before="480"/>
      </w:pPr>
      <w:r>
        <w:rPr>
          <w:rFonts w:ascii="Cambria" w:cs="Cambria" w:eastAsia="Cambria" w:hAnsi="Cambria"/>
          <w:b/>
          <w:bCs/>
          <w:color w:val="1E4E8C"/>
          <w:sz w:val="36"/>
          <w:szCs w:val="36"/>
        </w:rPr>
        <w:t xml:space="preserve">RNA/Protein 'Opposite Spectrum' Literature Grounding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Question: </w:t>
      </w:r>
      <w:r>
        <w:rPr>
          <w:rFonts w:ascii="Calibri" w:cs="Calibri" w:eastAsia="Calibri" w:hAnsi="Calibri"/>
          <w:i/>
          <w:iCs/>
          <w:color w:val="4E5F7A"/>
          <w:sz w:val="20"/>
          <w:szCs w:val="20"/>
        </w:rPr>
        <w:t xml:space="preserve">Are opposite-direction mRNA and protein readings consistent with known biology, or unexplained?</w:t>
      </w:r>
    </w:p>
    <w:p>
      <w:pPr>
        <w:pBdr>
          <w:left w:val="thick" w:color="1F6B45" w:sz="24"/>
        </w:pBdr>
        <w:shd w:fill="EBF5F0" w:val="clear"/>
        <w:spacing w:after="160" w:before="160"/>
        <w:ind w:left="360"/>
      </w:pPr>
      <w:r>
        <w:rPr>
          <w:rFonts w:ascii="Calibri" w:cs="Calibri" w:eastAsia="Calibri" w:hAnsi="Calibri"/>
          <w:b/>
          <w:bCs/>
          <w:color w:val="1F6B45"/>
          <w:sz w:val="20"/>
          <w:szCs w:val="20"/>
        </w:rPr>
        <w:t xml:space="preserve">Opposite-direction mRNA and protein readings are consistent with well-documented biology. Three distinct, independently measured mechanisms produce this pattern. The regime-3 population is expected, if uncommon — not anomalous.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The specific question vs. earlier GAPDH work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GAPDH investigation concerned unexpectedly high variance in a housekeeping gene. This question concerns active directional discordance — both arms confidently signaled in opposite directions (|z| &gt; 1.0). The condition is stronger, and the three mechanisms below each explain why it can arise genuinely in cancer cell line panels.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Citation 1 — miRNA-mediated translational repression</w:t>
      </w:r>
    </w:p>
    <w:p>
      <w:pPr>
        <w:spacing w:after="40" w:before="120"/>
        <w:ind w:left="360"/>
      </w:pPr>
      <w:r>
        <w:rPr>
          <w:rFonts w:ascii="Calibri" w:cs="Calibri" w:eastAsia="Calibri" w:hAnsi="Calibri"/>
          <w:i/>
          <w:iCs/>
          <w:color w:val="4E5F7A"/>
          <w:sz w:val="19"/>
          <w:szCs w:val="19"/>
        </w:rPr>
        <w:t xml:space="preserve">Larsson et al. (2010). "Integrative omics analysis reveals the importance and scope of translational repression in microRNA-mediated regulation." Mol Cell Proteomics. PMID 23550052. PMC3708174.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Using matched miRNA, mRNA, and protein measurements in colorectal cancer cell lines, this study found that differential miR-138 expression across genetically matched lines produced altered protein abundance for most target genes with no corresponding change in mRNA levels. This is the cleanest demonstration: a post-transcriptional regulator creates a protein/mRNA discordance invisible at the transcript level. Across a cell line panel where miRNA expression varies, any miRNA-regulated gene would show mRNA and protein moving in opposite directions as miRNA activity varies — exactly the regime-3 signal.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Citation 2 — Protein turnover and temporal delay</w:t>
      </w:r>
    </w:p>
    <w:p>
      <w:pPr>
        <w:spacing w:after="40" w:before="120"/>
        <w:ind w:left="360"/>
      </w:pPr>
      <w:r>
        <w:rPr>
          <w:rFonts w:ascii="Calibri" w:cs="Calibri" w:eastAsia="Calibri" w:hAnsi="Calibri"/>
          <w:i/>
          <w:iCs/>
          <w:color w:val="4E5F7A"/>
          <w:sz w:val="19"/>
          <w:szCs w:val="19"/>
        </w:rPr>
        <w:t xml:space="preserve">Kristensen et al. (2013). "Pervasive discordance between mRNA and protein expression during embryonic stem cell differentiation." bioRxiv / subsequent journal publication. Temporal follow-on quantifying the 3–5 hour mRNA-to-protein delay. PMC2830839 (related rapamycin temporal study).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≥60% of genes showed discordant mRNA and protein dynamics during differentiation. Incorporating the temporal lag substantially changed the measured correlation. For cell lines profiled at a single timepoint (DepMap-style), a gene undergoing rapid transcriptional induction will show its mRNA change before the protein equilibrates — a snapshot where both arms are confidently measured but point in opposite directions. Ribosomal protein genes showed the lowest concordance; enrichment of regime-3 hits in genes with fast transcriptional dynamics would be consistent with this mechanism.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Citation 3 — Systematic mRNA/protein discordance survey</w:t>
      </w:r>
    </w:p>
    <w:p>
      <w:pPr>
        <w:spacing w:after="40" w:before="120"/>
        <w:ind w:left="360"/>
      </w:pPr>
      <w:r>
        <w:rPr>
          <w:rFonts w:ascii="Calibri" w:cs="Calibri" w:eastAsia="Calibri" w:hAnsi="Calibri"/>
          <w:i/>
          <w:iCs/>
          <w:color w:val="4E5F7A"/>
          <w:sz w:val="19"/>
          <w:szCs w:val="19"/>
        </w:rPr>
        <w:t xml:space="preserve">Bosch et al. (2023). "Systematic analysis of YFP traps reveals common mRNA/protein discordance in neural tissues." J Cell Biol 222(6): e202205129. doi:10.1083/jcb.202205129.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A large-scale survey using endogenously tagged proteins found that mRNA/protein discordance at the level visible to this pipeline — opposite directions, both confidently measured — is a common feature of post-transcriptionally regulated genes. The study explicitly attributes discordance to localised translation, mRNA stability differences, and intracellular protein transport decoupling transcript localisation from protein localisation. In a cancer cell line panel, any of these mechanisms can produce consistent opposite-direction readings for a given gene across multiple lines.</w:t>
      </w: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1B2A4A"/>
          <w:sz w:val="26"/>
          <w:szCs w:val="26"/>
        </w:rPr>
        <w:t xml:space="preserve">Assessment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'Opposite spectrum' readings in this dataset are expected, if uncommon, by the literature.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All three mechanisms — translational repression (miRNA or otherwise), protein turnover creating temporal discordance, and post-transcriptional regulatory axes operating independently of transcription — are well-characterised in exactly the cancer cell lines this pipeline scores. The regime-3 population (~1.1% of n_layers=2 rows) is consistent with the frequency one would expect from these known mechanisms. It is not a measurement artefact requiring correction; it is the regime the substitution was designed to handle correctly.</w:t>
      </w:r>
    </w:p>
    <w:p>
      <w:pPr>
        <w:spacing w:after="100" w:before="100"/>
      </w:pPr>
      <w:r>
        <w:rPr>
          <w:rFonts w:ascii="Calibri" w:cs="Calibri" w:eastAsia="Calibri" w:hAnsi="Calibri"/>
          <w:color w:val="1B2A4A"/>
          <w:sz w:val="20"/>
          <w:szCs w:val="20"/>
        </w:rPr>
        <w:t xml:space="preserve">The key distinction from GAPDH's question: GAPDH's variance was surprising relative to its expected housekeeping biology. Regime-3's discordance is not surprising — it is a named, well-documented consequence of the fact that mRNA and protein are regulated at multiple independent layers, and a cross-sectional snapshot of ~1,500 cell lines will capture genes at different points in those regulatory states.</w:t>
      </w:r>
    </w:p>
    <w:p>
      <w:r>
        <w:t xml:space="preserve"/>
      </w:r>
    </w:p>
    <w:p>
      <w:r>
        <w:t xml:space="preserve"/>
      </w:r>
    </w:p>
    <w:p>
      <w:pPr>
        <w:pBdr>
          <w:top w:val="single" w:color="D0D9E8" w:sz="4"/>
        </w:pBdr>
        <w:spacing w:after="0" w:before="0"/>
      </w:pPr>
      <w:r>
        <w:rPr>
          <w:rFonts w:ascii="Courier New" w:cs="Courier New" w:eastAsia="Courier New" w:hAnsi="Courier New"/>
          <w:color w:val="4E5F7A"/>
          <w:sz w:val="16"/>
          <w:szCs w:val="16"/>
        </w:rPr>
        <w:t xml:space="preserve">Generated 2026-09-01 from live pipeline outputs on branch chai. No live files were modified in producing this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2026-09-01T16:13:49.746Z</dcterms:created>
  <dcterms:modified xsi:type="dcterms:W3CDTF">2026-09-01T16:13:49.747Z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