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color w:val="6B7280"/>
          <w:sz w:val="21"/>
          <w:szCs w:val="21"/>
        </w:rPr>
        <w:t xml:space="preserve">GeneTraceAI — final_pipeline</w:t>
      </w:r>
    </w:p>
    <w:p>
      <w:pPr>
        <w:spacing w:after="100"/>
      </w:pPr>
      <w:r>
        <w:rPr>
          <w:b/>
          <w:bCs/>
          <w:color w:val="1F2937"/>
          <w:sz w:val="44"/>
          <w:szCs w:val="44"/>
        </w:rPr>
        <w:t xml:space="preserve">Testing and Validation Report</w:t>
      </w:r>
    </w:p>
    <w:p>
      <w:pPr>
        <w:spacing w:after="40"/>
      </w:pPr>
      <w:r>
        <w:rPr>
          <w:color w:val="6B7280"/>
          <w:sz w:val="20"/>
          <w:szCs w:val="20"/>
        </w:rPr>
        <w:t xml:space="preserve">Chaithali  •  skchaithali@gmail.com  •  25 August 2026</w:t>
      </w:r>
    </w:p>
    <w:p>
      <w:pPr>
        <w:pBdr>
          <w:bottom w:val="single" w:color="D1D5DB" w:sz="6" w:space="4"/>
        </w:pBdr>
        <w:spacing w:after="240" w:before="120"/>
      </w:pPr>
    </w:p>
    <w:p>
      <w:pPr>
        <w:spacing w:after="160" w:line="276"/>
      </w:pPr>
      <w:r>
        <w:rPr>
          <w:sz w:val="21"/>
          <w:szCs w:val="21"/>
        </w:rPr>
        <w:t xml:space="preserve">This report documents the testing and validation work carried out across the final_pipeline stage of the GeneTraceAI project: transcriptomics calibration, proteomics concordance checks, warehouse auditing, and a ten-part statistical re-audit of the CRISPR-dependency “abundance gate” finding (gate_audit/, at the repository root). Each section states what was validated, the method used, the thresholds applied, and the concrete result obtained. File paths are given relative to the repository root so each check can be re-run or inspected directly.</w:t>
      </w:r>
    </w:p>
    <w:p>
      <w:pPr>
        <w:pStyle w:val="Heading2"/>
        <w:spacing w:after="140" w:before="320"/>
      </w:pPr>
      <w:r>
        <w:rPr>
          <w:b/>
          <w:bCs/>
          <w:color w:val="1F2937"/>
          <w:sz w:val="25"/>
          <w:szCs w:val="25"/>
        </w:rPr>
        <w:t xml:space="preserve">Contents</w:t>
      </w:r>
    </w:p>
    <w:p>
      <w:pPr>
        <w:pStyle w:val="ListParagraph"/>
        <w:numPr>
          <w:ilvl w:val="0"/>
          <w:numId w:val="2"/>
        </w:numPr>
        <w:spacing w:after="90" w:line="260"/>
      </w:pPr>
      <w:r>
        <w:rPr>
          <w:sz w:val="21"/>
          <w:szCs w:val="21"/>
        </w:rPr>
        <w:t xml:space="preserve">1. Transcriptomics — calibration and cache correctness</w:t>
      </w:r>
    </w:p>
    <w:p>
      <w:pPr>
        <w:pStyle w:val="ListParagraph"/>
        <w:numPr>
          <w:ilvl w:val="0"/>
          <w:numId w:val="2"/>
        </w:numPr>
        <w:spacing w:after="90" w:line="260"/>
      </w:pPr>
      <w:r>
        <w:rPr>
          <w:sz w:val="21"/>
          <w:szCs w:val="21"/>
        </w:rPr>
        <w:t xml:space="preserve">2. Proteomics — cross-platform concordance and derived thresholds</w:t>
      </w:r>
    </w:p>
    <w:p>
      <w:pPr>
        <w:pStyle w:val="ListParagraph"/>
        <w:numPr>
          <w:ilvl w:val="0"/>
          <w:numId w:val="2"/>
        </w:numPr>
        <w:spacing w:after="90" w:line="260"/>
      </w:pPr>
      <w:r>
        <w:rPr>
          <w:sz w:val="21"/>
          <w:szCs w:val="21"/>
        </w:rPr>
        <w:t xml:space="preserve">3. Warehouse audit</w:t>
      </w:r>
    </w:p>
    <w:p>
      <w:pPr>
        <w:pStyle w:val="ListParagraph"/>
        <w:numPr>
          <w:ilvl w:val="0"/>
          <w:numId w:val="2"/>
        </w:numPr>
        <w:spacing w:after="90" w:line="260"/>
      </w:pPr>
      <w:r>
        <w:rPr>
          <w:sz w:val="21"/>
          <w:szCs w:val="21"/>
        </w:rPr>
        <w:t xml:space="preserve">4. Gate audit — statistical re-examination of the abundance–dependency gate</w:t>
      </w:r>
    </w:p>
    <w:p>
      <w:pPr>
        <w:pStyle w:val="ListParagraph"/>
        <w:numPr>
          <w:ilvl w:val="0"/>
          <w:numId w:val="2"/>
        </w:numPr>
        <w:spacing w:after="90" w:line="260"/>
      </w:pPr>
      <w:r>
        <w:rPr>
          <w:sz w:val="21"/>
          <w:szCs w:val="21"/>
        </w:rPr>
        <w:t xml:space="preserve">5. Additional test suites (Testing/, Validation/, Ranking/)</w:t>
      </w:r>
    </w:p>
    <w:p>
      <w:pPr>
        <w:pStyle w:val="ListParagraph"/>
        <w:numPr>
          <w:ilvl w:val="0"/>
          <w:numId w:val="2"/>
        </w:numPr>
        <w:spacing w:after="90" w:line="260"/>
      </w:pPr>
      <w:r>
        <w:rPr>
          <w:sz w:val="21"/>
          <w:szCs w:val="21"/>
        </w:rPr>
        <w:t xml:space="preserve">6. Logging and run provenance</w:t>
      </w:r>
    </w:p>
    <w:p>
      <w:pPr>
        <w:pStyle w:val="ListParagraph"/>
        <w:numPr>
          <w:ilvl w:val="0"/>
          <w:numId w:val="2"/>
        </w:numPr>
        <w:spacing w:after="90" w:line="260"/>
      </w:pPr>
      <w:r>
        <w:rPr>
          <w:sz w:val="21"/>
          <w:szCs w:val="21"/>
        </w:rPr>
        <w:t xml:space="preserve">7. Summary of key findings</w:t>
      </w:r>
    </w:p>
    <w:p>
      <w:r>
        <w:br w:type="page"/>
      </w:r>
    </w:p>
    <w:p>
      <w:pPr>
        <w:pStyle w:val="Heading1"/>
        <w:spacing w:after="200" w:before="480"/>
      </w:pPr>
      <w:r>
        <w:rPr>
          <w:b/>
          <w:bCs/>
          <w:color w:val="1F2937"/>
          <w:sz w:val="30"/>
          <w:szCs w:val="30"/>
        </w:rPr>
        <w:t xml:space="preserve">1. Transcriptomics — calibration and cache correctness</w:t>
      </w:r>
    </w:p>
    <w:p>
      <w:pPr>
        <w:spacing w:after="160" w:line="276"/>
      </w:pPr>
      <w:r>
        <w:rPr>
          <w:rFonts w:ascii="Consolas" w:cs="Consolas" w:eastAsia="Consolas" w:hAnsi="Consolas"/>
          <w:color w:val="6B7280"/>
          <w:sz w:val="19"/>
          <w:szCs w:val="19"/>
        </w:rPr>
        <w:t xml:space="preserve">final_pipeline/01_Transcriptomics/</w:t>
      </w:r>
    </w:p>
    <w:p>
      <w:pPr>
        <w:pStyle w:val="Heading2"/>
        <w:spacing w:after="140" w:before="320"/>
      </w:pPr>
      <w:r>
        <w:rPr>
          <w:b/>
          <w:bCs/>
          <w:color w:val="1F2937"/>
          <w:sz w:val="25"/>
          <w:szCs w:val="25"/>
        </w:rPr>
        <w:t xml:space="preserve">1.1 Parameter calibration via held-out cross-source concordance</w:t>
      </w:r>
    </w:p>
    <w:p>
      <w:pPr>
        <w:spacing w:after="160" w:line="276"/>
      </w:pPr>
      <w:r>
        <w:rPr>
          <w:sz w:val="21"/>
          <w:szCs w:val="21"/>
        </w:rPr>
        <w:t xml:space="preserve">The transcriptomics scorer (transcriptomics.py) exposes four tunable parameters — the detection-floor quantile, a lineage-shrinkage constant, and upper/lower censoring cutoffs — wrapped in a Params dataclass. Rather than hand-picking values, they are chosen by grid search validated against held-out data:</w:t>
      </w:r>
    </w:p>
    <w:p>
      <w:pPr>
        <w:pStyle w:val="ListParagraph"/>
        <w:numPr>
          <w:ilvl w:val="0"/>
          <w:numId w:val="2"/>
        </w:numPr>
        <w:spacing w:after="90" w:line="260"/>
      </w:pPr>
      <w:r>
        <w:rPr>
          <w:b w:val="false"/>
          <w:bCs w:val="false"/>
          <w:i w:val="false"/>
          <w:iCs w:val="false"/>
          <w:sz w:val="21"/>
          <w:szCs w:val="21"/>
        </w:rPr>
        <w:t xml:space="preserve">Grid: </w:t>
      </w:r>
      <w:r>
        <w:rPr>
          <w:rFonts w:ascii="Consolas" w:cs="Consolas" w:eastAsia="Consolas" w:hAnsi="Consolas"/>
          <w:b w:val="false"/>
          <w:bCs w:val="false"/>
          <w:i w:val="false"/>
          <w:iCs w:val="false"/>
          <w:color w:val="B91C1C"/>
          <w:sz w:val="21"/>
          <w:szCs w:val="21"/>
        </w:rPr>
        <w:t xml:space="preserve">floor_q ∈ {0.02, 0.05, 0.10, 0.20}, n0 ∈ {5, 10, 25, 50, 100}, upper_cut ∈ {0.30–0.80}, lower_cut ∈ {0.02–0.20}</w:t>
      </w:r>
      <w:r>
        <w:rPr>
          <w:b w:val="false"/>
          <w:bCs w:val="false"/>
          <w:i w:val="false"/>
          <w:iCs w:val="false"/>
          <w:sz w:val="21"/>
          <w:szCs w:val="21"/>
        </w:rPr>
        <w:t xml:space="preserve"> — 480 valid combinations (filtered to lower_cut &lt; upper_cut).</w:t>
      </w:r>
    </w:p>
    <w:p>
      <w:pPr>
        <w:pStyle w:val="ListParagraph"/>
        <w:numPr>
          <w:ilvl w:val="0"/>
          <w:numId w:val="2"/>
        </w:numPr>
        <w:spacing w:after="90" w:line="260"/>
      </w:pPr>
      <w:r>
        <w:rPr>
          <w:b w:val="false"/>
          <w:bCs w:val="false"/>
          <w:i w:val="false"/>
          <w:iCs w:val="false"/>
          <w:sz w:val="21"/>
          <w:szCs w:val="21"/>
        </w:rPr>
        <w:t xml:space="preserve">Validation method: </w:t>
      </w:r>
      <w:r>
        <w:rPr>
          <w:b w:val="false"/>
          <w:bCs w:val="false"/>
          <w:i w:val="false"/>
          <w:iCs w:val="false"/>
          <w:sz w:val="21"/>
          <w:szCs w:val="21"/>
        </w:rPr>
        <w:t xml:space="preserve">for each of two holdout sources (DepMap, HPA-RNA), the model is refit on all other sources and Spearman ρ is computed between the refit z-scores and a fixed reference scoring, restricted to an “ambiguous band” (0.01 &lt; detection fraction &lt; 0.90) so the score isn’t dominated by trivially easy floor/ceiling cells.</w:t>
      </w:r>
    </w:p>
    <w:p>
      <w:pPr>
        <w:pStyle w:val="ListParagraph"/>
        <w:numPr>
          <w:ilvl w:val="0"/>
          <w:numId w:val="2"/>
        </w:numPr>
        <w:spacing w:after="90" w:line="260"/>
      </w:pPr>
      <w:r>
        <w:rPr>
          <w:b w:val="false"/>
          <w:bCs w:val="false"/>
          <w:i w:val="false"/>
          <w:iCs w:val="false"/>
          <w:sz w:val="21"/>
          <w:szCs w:val="21"/>
        </w:rPr>
        <w:t xml:space="preserve">Selection rule: </w:t>
      </w:r>
      <w:r>
        <w:rPr>
          <w:b w:val="false"/>
          <w:bCs w:val="false"/>
          <w:i w:val="false"/>
          <w:iCs w:val="false"/>
          <w:sz w:val="21"/>
          <w:szCs w:val="21"/>
        </w:rPr>
        <w:t xml:space="preserve">1-SE rule — picks the combination within one standard error of the best mean ρ, tie-broken toward the most conservative settings.</w:t>
      </w:r>
    </w:p>
    <w:p>
      <w:pPr>
        <w:pStyle w:val="ListParagraph"/>
        <w:numPr>
          <w:ilvl w:val="0"/>
          <w:numId w:val="2"/>
        </w:numPr>
        <w:spacing w:after="90" w:line="260"/>
      </w:pPr>
      <w:r>
        <w:rPr>
          <w:b w:val="false"/>
          <w:bCs w:val="false"/>
          <w:i w:val="false"/>
          <w:iCs w:val="false"/>
          <w:sz w:val="21"/>
          <w:szCs w:val="21"/>
        </w:rPr>
        <w:t xml:space="preserve">Sample size: </w:t>
      </w:r>
      <w:r>
        <w:rPr>
          <w:b w:val="false"/>
          <w:bCs w:val="false"/>
          <w:i w:val="false"/>
          <w:iCs w:val="false"/>
          <w:sz w:val="21"/>
          <w:szCs w:val="21"/>
        </w:rPr>
        <w:t xml:space="preserve">1,200 genes sampled per calibration run (seeded RNG for reproducibility); minimum 200 comparable (line, gene) pairs required per scored combination.</w:t>
      </w:r>
    </w:p>
    <w:p>
      <w:pPr>
        <w:pStyle w:val="ListParagraph"/>
        <w:numPr>
          <w:ilvl w:val="0"/>
          <w:numId w:val="2"/>
        </w:numPr>
        <w:spacing w:after="90" w:line="260"/>
      </w:pPr>
      <w:r>
        <w:rPr>
          <w:b w:val="false"/>
          <w:bCs w:val="false"/>
          <w:i w:val="false"/>
          <w:iCs w:val="false"/>
          <w:sz w:val="21"/>
          <w:szCs w:val="21"/>
        </w:rPr>
        <w:t xml:space="preserve">Post-run sanity check: </w:t>
      </w:r>
      <w:r>
        <w:rPr>
          <w:b w:val="false"/>
          <w:bCs w:val="false"/>
          <w:i w:val="false"/>
          <w:iCs w:val="false"/>
          <w:sz w:val="21"/>
          <w:szCs w:val="21"/>
        </w:rPr>
        <w:t xml:space="preserve">verify_output()</w:t>
      </w:r>
      <w:r>
        <w:rPr>
          <w:b w:val="false"/>
          <w:bCs w:val="false"/>
          <w:i w:val="false"/>
          <w:iCs w:val="false"/>
          <w:sz w:val="21"/>
          <w:szCs w:val="21"/>
        </w:rPr>
        <w:t xml:space="preserve"> reports row/gene/cell-line counts, mean/SD of z_lineage, and the source-coverage (k_src) distribution directly against the DuckDB output table.</w:t>
      </w:r>
    </w:p>
    <w:p>
      <w:pPr>
        <w:pStyle w:val="Heading3"/>
        <w:spacing w:after="100" w:before="220"/>
      </w:pPr>
      <w:r>
        <w:rPr>
          <w:b/>
          <w:bCs/>
          <w:color w:val="2563EB"/>
          <w:sz w:val="22"/>
          <w:szCs w:val="22"/>
        </w:rPr>
        <w:t xml:space="preserve">Result</w:t>
      </w:r>
    </w:p>
    <w:p>
      <w:pPr>
        <w:spacing w:after="160" w:line="276"/>
      </w:pPr>
      <w:r>
        <w:rPr>
          <w:sz w:val="21"/>
          <w:szCs w:val="21"/>
        </w:rPr>
        <w:t xml:space="preserve">Full 480-combination run (results/transcriptomics_cached/chosen_params.json):</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200"/>
        <w:gridCol w:w="2200"/>
      </w:tblGrid>
      <w:tr>
        <w:trPr>
          <w:tblHeader/>
        </w:trPr>
        <w:tc>
          <w:tcPr>
            <w:tcW w:type="dxa" w:w="2000"/>
            <w:shd w:fill="1F2937" w:val="clear"/>
            <w:tcMar>
              <w:top w:type="dxa" w:w="80"/>
              <w:left w:type="dxa" w:w="100"/>
              <w:bottom w:type="dxa" w:w="80"/>
              <w:right w:type="dxa" w:w="100"/>
            </w:tcMar>
            <w:vAlign w:val="center"/>
          </w:tcPr>
          <w:p>
            <w:pPr>
              <w:jc w:val="left"/>
            </w:pPr>
            <w:r>
              <w:rPr>
                <w:b/>
                <w:bCs/>
                <w:color w:val="FFFFFF"/>
                <w:sz w:val="19"/>
                <w:szCs w:val="19"/>
              </w:rPr>
              <w:t xml:space="preserve">floor_q</w:t>
            </w:r>
          </w:p>
        </w:tc>
        <w:tc>
          <w:tcPr>
            <w:tcW w:type="dxa" w:w="2000"/>
            <w:shd w:fill="1F2937" w:val="clear"/>
            <w:tcMar>
              <w:top w:type="dxa" w:w="80"/>
              <w:left w:type="dxa" w:w="100"/>
              <w:bottom w:type="dxa" w:w="80"/>
              <w:right w:type="dxa" w:w="100"/>
            </w:tcMar>
            <w:vAlign w:val="center"/>
          </w:tcPr>
          <w:p>
            <w:pPr>
              <w:jc w:val="left"/>
            </w:pPr>
            <w:r>
              <w:rPr>
                <w:b/>
                <w:bCs/>
                <w:color w:val="FFFFFF"/>
                <w:sz w:val="19"/>
                <w:szCs w:val="19"/>
              </w:rPr>
              <w:t xml:space="preserve">n0</w:t>
            </w:r>
          </w:p>
        </w:tc>
        <w:tc>
          <w:tcPr>
            <w:tcW w:type="dxa" w:w="2200"/>
            <w:shd w:fill="1F2937" w:val="clear"/>
            <w:tcMar>
              <w:top w:type="dxa" w:w="80"/>
              <w:left w:type="dxa" w:w="100"/>
              <w:bottom w:type="dxa" w:w="80"/>
              <w:right w:type="dxa" w:w="100"/>
            </w:tcMar>
            <w:vAlign w:val="center"/>
          </w:tcPr>
          <w:p>
            <w:pPr>
              <w:jc w:val="left"/>
            </w:pPr>
            <w:r>
              <w:rPr>
                <w:b/>
                <w:bCs/>
                <w:color w:val="FFFFFF"/>
                <w:sz w:val="19"/>
                <w:szCs w:val="19"/>
              </w:rPr>
              <w:t xml:space="preserve">upper_cut</w:t>
            </w:r>
          </w:p>
        </w:tc>
        <w:tc>
          <w:tcPr>
            <w:tcW w:type="dxa" w:w="2200"/>
            <w:shd w:fill="1F2937" w:val="clear"/>
            <w:tcMar>
              <w:top w:type="dxa" w:w="80"/>
              <w:left w:type="dxa" w:w="100"/>
              <w:bottom w:type="dxa" w:w="80"/>
              <w:right w:type="dxa" w:w="100"/>
            </w:tcMar>
            <w:vAlign w:val="center"/>
          </w:tcPr>
          <w:p>
            <w:pPr>
              <w:jc w:val="left"/>
            </w:pPr>
            <w:r>
              <w:rPr>
                <w:b/>
                <w:bCs/>
                <w:color w:val="FFFFFF"/>
                <w:sz w:val="19"/>
                <w:szCs w:val="19"/>
              </w:rPr>
              <w:t xml:space="preserve">lower_cut</w:t>
            </w:r>
          </w:p>
        </w:tc>
      </w:tr>
      <w:tr>
        <w:tc>
          <w:tcPr>
            <w:tcW w:type="dxa" w:w="2000"/>
            <w:tcMar>
              <w:top w:type="dxa" w:w="80"/>
              <w:left w:type="dxa" w:w="100"/>
              <w:bottom w:type="dxa" w:w="80"/>
              <w:right w:type="dxa" w:w="100"/>
            </w:tcMar>
            <w:vAlign w:val="center"/>
          </w:tcPr>
          <w:p>
            <w:pPr>
              <w:jc w:val="left"/>
            </w:pPr>
            <w:r>
              <w:rPr>
                <w:b w:val="false"/>
                <w:bCs w:val="false"/>
                <w:color w:val="111827"/>
                <w:sz w:val="19"/>
                <w:szCs w:val="19"/>
              </w:rPr>
              <w:t xml:space="preserve">0.20</w:t>
            </w:r>
          </w:p>
        </w:tc>
        <w:tc>
          <w:tcPr>
            <w:tcW w:type="dxa" w:w="2000"/>
            <w:tcMar>
              <w:top w:type="dxa" w:w="80"/>
              <w:left w:type="dxa" w:w="100"/>
              <w:bottom w:type="dxa" w:w="80"/>
              <w:right w:type="dxa" w:w="100"/>
            </w:tcMar>
            <w:vAlign w:val="center"/>
          </w:tcPr>
          <w:p>
            <w:pPr>
              <w:jc w:val="left"/>
            </w:pPr>
            <w:r>
              <w:rPr>
                <w:b w:val="false"/>
                <w:bCs w:val="false"/>
                <w:color w:val="111827"/>
                <w:sz w:val="19"/>
                <w:szCs w:val="19"/>
              </w:rPr>
              <w:t xml:space="preserve">100</w:t>
            </w:r>
          </w:p>
        </w:tc>
        <w:tc>
          <w:tcPr>
            <w:tcW w:type="dxa" w:w="2200"/>
            <w:tcMar>
              <w:top w:type="dxa" w:w="80"/>
              <w:left w:type="dxa" w:w="100"/>
              <w:bottom w:type="dxa" w:w="80"/>
              <w:right w:type="dxa" w:w="100"/>
            </w:tcMar>
            <w:vAlign w:val="center"/>
          </w:tcPr>
          <w:p>
            <w:pPr>
              <w:jc w:val="left"/>
            </w:pPr>
            <w:r>
              <w:rPr>
                <w:b w:val="false"/>
                <w:bCs w:val="false"/>
                <w:color w:val="111827"/>
                <w:sz w:val="19"/>
                <w:szCs w:val="19"/>
              </w:rPr>
              <w:t xml:space="preserve">0.50</w:t>
            </w:r>
          </w:p>
        </w:tc>
        <w:tc>
          <w:tcPr>
            <w:tcW w:type="dxa" w:w="2200"/>
            <w:tcMar>
              <w:top w:type="dxa" w:w="80"/>
              <w:left w:type="dxa" w:w="100"/>
              <w:bottom w:type="dxa" w:w="80"/>
              <w:right w:type="dxa" w:w="100"/>
            </w:tcMar>
            <w:vAlign w:val="center"/>
          </w:tcPr>
          <w:p>
            <w:pPr>
              <w:jc w:val="left"/>
            </w:pPr>
            <w:r>
              <w:rPr>
                <w:b w:val="false"/>
                <w:bCs w:val="false"/>
                <w:color w:val="111827"/>
                <w:sz w:val="19"/>
                <w:szCs w:val="19"/>
              </w:rPr>
              <w:t xml:space="preserve">0.20</w:t>
            </w:r>
          </w:p>
        </w:tc>
      </w:tr>
    </w:tbl>
    <w:p>
      <w:pPr>
        <w:spacing w:after="120"/>
      </w:pPr>
    </w:p>
    <w:p>
      <w:pPr>
        <w:spacing w:after="160" w:line="276"/>
      </w:pPr>
      <w:r>
        <w:rPr>
          <w:i w:val="false"/>
          <w:iCs w:val="false"/>
          <w:sz w:val="21"/>
          <w:szCs w:val="21"/>
        </w:rPr>
        <w:t xml:space="preserve">A widened follow-up sweep (chosen_params_v2_widened.json) produced floor_q=0.30, n0=25, upper_cut=0.50, lower_cut=0.30 as an alternate operating point — kept as a separate results/transcriptomics_cached_v2_widened/ output rather than overwriting the first, preserving both for comparison.</w:t>
      </w:r>
    </w:p>
    <w:p>
      <w:pPr>
        <w:spacing w:after="160" w:line="276"/>
      </w:pPr>
      <w:r>
        <w:rPr>
          <w:sz w:val="21"/>
          <w:szCs w:val="21"/>
        </w:rPr>
        <w:t xml:space="preserve">Run cost: full_calibration_cached.log records 2,320.2 s (38.7 min) for the 480 scored combinations.</w:t>
      </w:r>
    </w:p>
    <w:p>
      <w:pPr>
        <w:pStyle w:val="Heading2"/>
        <w:spacing w:after="140" w:before="320"/>
      </w:pPr>
      <w:r>
        <w:rPr>
          <w:b/>
          <w:bCs/>
          <w:color w:val="1F2937"/>
          <w:sz w:val="25"/>
          <w:szCs w:val="25"/>
        </w:rPr>
        <w:t xml:space="preserve">1.2 Cache correctness: bit-identical verification</w:t>
      </w:r>
    </w:p>
    <w:p>
      <w:pPr>
        <w:spacing w:after="160" w:line="276"/>
      </w:pPr>
      <w:r>
        <w:rPr>
          <w:sz w:val="21"/>
          <w:szCs w:val="21"/>
        </w:rPr>
        <w:t xml:space="preserve">verify_cache_correctness.py checks that the cached scorer (transcriptomics_cached.py, added to make the 480-combination grid search tractable) produces results identical to the reference scorer (transcriptomics.py) before the cached version is trusted for a full run.</w:t>
      </w:r>
    </w:p>
    <w:p>
      <w:pPr>
        <w:pStyle w:val="Heading3"/>
        <w:spacing w:after="100" w:before="220"/>
      </w:pPr>
      <w:r>
        <w:rPr>
          <w:b/>
          <w:bCs/>
          <w:color w:val="2563EB"/>
          <w:sz w:val="22"/>
          <w:szCs w:val="22"/>
        </w:rPr>
        <w:t xml:space="preserve">Method</w:t>
      </w:r>
    </w:p>
    <w:p>
      <w:pPr>
        <w:pStyle w:val="ListParagraph"/>
        <w:numPr>
          <w:ilvl w:val="0"/>
          <w:numId w:val="2"/>
        </w:numPr>
        <w:spacing w:after="90" w:line="260"/>
      </w:pPr>
      <w:r>
        <w:rPr>
          <w:sz w:val="21"/>
          <w:szCs w:val="21"/>
        </w:rPr>
        <w:t xml:space="preserve">Builds MethodAxis objects once, then deep-copies them into two independent arms — one scored with the original code, one with the cached code — isolating caching as the only variable between runs.</w:t>
      </w:r>
    </w:p>
    <w:p>
      <w:pPr>
        <w:pStyle w:val="ListParagraph"/>
        <w:numPr>
          <w:ilvl w:val="0"/>
          <w:numId w:val="2"/>
        </w:numPr>
        <w:spacing w:after="90" w:line="260"/>
      </w:pPr>
      <w:r>
        <w:rPr>
          <w:sz w:val="21"/>
          <w:szCs w:val="21"/>
        </w:rPr>
        <w:t xml:space="preserve">Spot-checks 5 of the 480 grid combinations (evenly spaced by quantile index) across both holdout sources (DepMap, HPA-RNA).</w:t>
      </w:r>
    </w:p>
    <w:p>
      <w:pPr>
        <w:pStyle w:val="ListParagraph"/>
        <w:numPr>
          <w:ilvl w:val="0"/>
          <w:numId w:val="2"/>
        </w:numPr>
        <w:spacing w:after="90" w:line="260"/>
      </w:pPr>
      <w:r>
        <w:rPr>
          <w:sz w:val="21"/>
          <w:szCs w:val="21"/>
        </w:rPr>
        <w:t xml:space="preserve">Compares, per combination: detection floor per axis (tolerance 1e-9), Spearman ρ against the held-out reference (|Δρ| &lt; 1e-9), and a raw sample of the first 10 masked z-scores (np.allclose, atol=1e-6) — not just the summary correlation.</w:t>
      </w:r>
    </w:p>
    <w:p>
      <w:pPr>
        <w:pStyle w:val="ListParagraph"/>
        <w:numPr>
          <w:ilvl w:val="0"/>
          <w:numId w:val="2"/>
        </w:numPr>
        <w:spacing w:after="90" w:line="260"/>
      </w:pPr>
      <w:r>
        <w:rPr>
          <w:sz w:val="21"/>
          <w:szCs w:val="21"/>
        </w:rPr>
        <w:t xml:space="preserve">Times both arms to quantify the caching speedup.</w:t>
      </w:r>
    </w:p>
    <w:p>
      <w:pPr>
        <w:pStyle w:val="Heading3"/>
        <w:spacing w:after="100" w:before="220"/>
      </w:pPr>
      <w:r>
        <w:rPr>
          <w:b/>
          <w:bCs/>
          <w:color w:val="2563EB"/>
          <w:sz w:val="22"/>
          <w:szCs w:val="22"/>
        </w:rPr>
        <w:t xml:space="preserve">A bug the check caught</w:t>
      </w:r>
    </w:p>
    <w:p>
      <w:pPr>
        <w:spacing w:after="160" w:line="276"/>
      </w:pPr>
      <w:r>
        <w:rPr>
          <w:sz w:val="21"/>
          <w:szCs w:val="21"/>
        </w:rPr>
        <w:t xml:space="preserve">The first run of this script failed: verify_cache.log ends in MISMATCH FOUND, with ρ values disagreeing between the original and cached arms (e.g. ρ=0.03127 vs 0.03189). Root cause: axes were originally built separately per arm, and a pre-existing, unrelated bug surfaced — DuckDB’s SELECT DISTINCT model_id with no ORDER BY returns non-deterministic row order, which collapse_replicates() silently depended on for axes with no replicates. Building the axes once and sharing them via deepcopy removed the confound.</w:t>
      </w:r>
    </w:p>
    <w:p>
      <w:pPr>
        <w:spacing w:after="160" w:line="276"/>
      </w:pPr>
      <w:r>
        <w:rPr>
          <w:sz w:val="21"/>
          <w:szCs w:val="21"/>
        </w:rPr>
        <w:t xml:space="preserve">After the fix, verify_cache2.log ends in ALL MATCH — safe to proceed to full run, with every floor, ρ, and z-sample identical to machine precision. This result gated the decision to run the full 480-combination cached calibration described in §1.1.</w:t>
      </w:r>
    </w:p>
    <w:p>
      <w:pPr>
        <w:pStyle w:val="Heading2"/>
        <w:spacing w:after="140" w:before="320"/>
      </w:pPr>
      <w:r>
        <w:rPr>
          <w:b/>
          <w:bCs/>
          <w:color w:val="1F2937"/>
          <w:sz w:val="25"/>
          <w:szCs w:val="25"/>
        </w:rPr>
        <w:t xml:space="preserve">1.3 Orchestration-level checks (05_transcriptomics_stats_layer.py)</w:t>
      </w:r>
    </w:p>
    <w:p>
      <w:pPr>
        <w:pStyle w:val="ListParagraph"/>
        <w:numPr>
          <w:ilvl w:val="0"/>
          <w:numId w:val="2"/>
        </w:numPr>
        <w:spacing w:after="90" w:line="260"/>
      </w:pPr>
      <w:r>
        <w:rPr>
          <w:b w:val="false"/>
          <w:bCs w:val="false"/>
          <w:i w:val="false"/>
          <w:iCs w:val="false"/>
          <w:sz w:val="21"/>
          <w:szCs w:val="21"/>
        </w:rPr>
        <w:t xml:space="preserve">--audit-geo: </w:t>
      </w:r>
      <w:r>
        <w:rPr>
          <w:b w:val="false"/>
          <w:bCs w:val="false"/>
          <w:i w:val="false"/>
          <w:iCs w:val="false"/>
          <w:sz w:val="21"/>
          <w:szCs w:val="21"/>
        </w:rPr>
        <w:t xml:space="preserve">cross-checks GEO platform/method metadata via </w:t>
      </w:r>
      <w:r>
        <w:rPr>
          <w:rFonts w:ascii="Consolas" w:cs="Consolas" w:eastAsia="Consolas" w:hAnsi="Consolas"/>
          <w:b w:val="false"/>
          <w:bCs w:val="false"/>
          <w:i w:val="false"/>
          <w:iCs w:val="false"/>
          <w:color w:val="B91C1C"/>
          <w:sz w:val="21"/>
          <w:szCs w:val="21"/>
        </w:rPr>
        <w:t xml:space="preserve">audit_geo_platform()</w:t>
      </w:r>
      <w:r>
        <w:rPr>
          <w:b w:val="false"/>
          <w:bCs w:val="false"/>
          <w:i w:val="false"/>
          <w:iCs w:val="false"/>
          <w:sz w:val="21"/>
          <w:szCs w:val="21"/>
        </w:rPr>
        <w:t xml:space="preserve">, writing geo_methods.csv and flagging any files that fail to parse to geo_meta_parse_failures.csv.</w:t>
      </w:r>
    </w:p>
    <w:p>
      <w:pPr>
        <w:pStyle w:val="ListParagraph"/>
        <w:numPr>
          <w:ilvl w:val="0"/>
          <w:numId w:val="2"/>
        </w:numPr>
        <w:spacing w:after="90" w:line="260"/>
      </w:pPr>
      <w:r>
        <w:rPr>
          <w:b w:val="false"/>
          <w:bCs w:val="false"/>
          <w:i w:val="false"/>
          <w:iCs w:val="false"/>
          <w:sz w:val="21"/>
          <w:szCs w:val="21"/>
        </w:rPr>
        <w:t xml:space="preserve">--calibrate-only: </w:t>
      </w:r>
      <w:r>
        <w:rPr>
          <w:b w:val="false"/>
          <w:bCs w:val="false"/>
          <w:i w:val="false"/>
          <w:iCs w:val="false"/>
          <w:sz w:val="21"/>
          <w:szCs w:val="21"/>
        </w:rPr>
        <w:t xml:space="preserve">runs just the grid search and scale/detection-floor profiling steps, without a full genome-wide scoring pass — used for calibration iteration without paying the full run cost.</w:t>
      </w:r>
    </w:p>
    <w:p>
      <w:pPr>
        <w:pStyle w:val="ListParagraph"/>
        <w:numPr>
          <w:ilvl w:val="0"/>
          <w:numId w:val="2"/>
        </w:numPr>
        <w:spacing w:after="90" w:line="260"/>
      </w:pPr>
      <w:r>
        <w:rPr>
          <w:b w:val="false"/>
          <w:bCs w:val="false"/>
          <w:i w:val="false"/>
          <w:iCs w:val="false"/>
          <w:sz w:val="21"/>
          <w:szCs w:val="21"/>
        </w:rPr>
        <w:t xml:space="preserve">min-k filter: </w:t>
      </w:r>
      <w:r>
        <w:rPr>
          <w:b w:val="false"/>
          <w:bCs w:val="false"/>
          <w:i w:val="false"/>
          <w:iCs w:val="false"/>
          <w:sz w:val="21"/>
          <w:szCs w:val="21"/>
        </w:rPr>
        <w:t xml:space="preserve">drops output rows backed by fewer than a configurable number of independent sources — a coverage-based quality gate on the final scored table.</w:t>
      </w:r>
    </w:p>
    <w:p>
      <w:pPr>
        <w:pStyle w:val="ListParagraph"/>
        <w:numPr>
          <w:ilvl w:val="0"/>
          <w:numId w:val="2"/>
        </w:numPr>
        <w:spacing w:after="90" w:line="260"/>
      </w:pPr>
      <w:r>
        <w:rPr>
          <w:b w:val="false"/>
          <w:bCs w:val="false"/>
          <w:i w:val="false"/>
          <w:iCs w:val="false"/>
          <w:sz w:val="21"/>
          <w:szCs w:val="21"/>
        </w:rPr>
        <w:t xml:space="preserve">Per-row provenance flags: </w:t>
      </w:r>
      <w:r>
        <w:rPr>
          <w:b w:val="false"/>
          <w:bCs w:val="false"/>
          <w:i w:val="false"/>
          <w:iCs w:val="false"/>
          <w:sz w:val="21"/>
          <w:szCs w:val="21"/>
        </w:rPr>
        <w:t xml:space="preserve">every scored cell carries a status (</w:t>
      </w:r>
      <w:r>
        <w:rPr>
          <w:rFonts w:ascii="Consolas" w:cs="Consolas" w:eastAsia="Consolas" w:hAnsi="Consolas"/>
          <w:b w:val="false"/>
          <w:bCs w:val="false"/>
          <w:i w:val="false"/>
          <w:iCs w:val="false"/>
          <w:color w:val="B91C1C"/>
          <w:sz w:val="21"/>
          <w:szCs w:val="21"/>
        </w:rPr>
        <w:t xml:space="preserve">ok, censored_ranked, below_detection, no_data</w:t>
      </w:r>
      <w:r>
        <w:rPr>
          <w:b w:val="false"/>
          <w:bCs w:val="false"/>
          <w:i w:val="false"/>
          <w:iCs w:val="false"/>
          <w:sz w:val="21"/>
          <w:szCs w:val="21"/>
        </w:rPr>
        <w:t xml:space="preserve">) and scale_source (</w:t>
      </w:r>
      <w:r>
        <w:rPr>
          <w:rFonts w:ascii="Consolas" w:cs="Consolas" w:eastAsia="Consolas" w:hAnsi="Consolas"/>
          <w:b w:val="false"/>
          <w:bCs w:val="false"/>
          <w:i w:val="false"/>
          <w:iCs w:val="false"/>
          <w:color w:val="B91C1C"/>
          <w:sz w:val="21"/>
          <w:szCs w:val="21"/>
        </w:rPr>
        <w:t xml:space="preserve">none, lineage, shrunk, fallback_global</w:t>
      </w:r>
      <w:r>
        <w:rPr>
          <w:b w:val="false"/>
          <w:bCs w:val="false"/>
          <w:i w:val="false"/>
          <w:iCs w:val="false"/>
          <w:sz w:val="21"/>
          <w:szCs w:val="21"/>
        </w:rPr>
        <w:t xml:space="preserve">) tag — the pipeline’s “flag, don’t drop” QC convention: unmapped or below-detection cells are marked and left NaN rather than assigned a fabricated value.</w:t>
      </w:r>
    </w:p>
    <w:p>
      <w:r>
        <w:br w:type="page"/>
      </w:r>
    </w:p>
    <w:p>
      <w:pPr>
        <w:pStyle w:val="Heading1"/>
        <w:spacing w:after="200" w:before="480"/>
      </w:pPr>
      <w:r>
        <w:rPr>
          <w:b/>
          <w:bCs/>
          <w:color w:val="1F2937"/>
          <w:sz w:val="30"/>
          <w:szCs w:val="30"/>
        </w:rPr>
        <w:t xml:space="preserve">2. Proteomics — cross-platform concordance and derived thresholds</w:t>
      </w:r>
    </w:p>
    <w:p>
      <w:pPr>
        <w:spacing w:after="160" w:line="276"/>
      </w:pPr>
      <w:r>
        <w:rPr>
          <w:rFonts w:ascii="Consolas" w:cs="Consolas" w:eastAsia="Consolas" w:hAnsi="Consolas"/>
          <w:color w:val="6B7280"/>
          <w:sz w:val="19"/>
          <w:szCs w:val="19"/>
        </w:rPr>
        <w:t xml:space="preserve">final_pipeline/02_Proteinomics/</w:t>
      </w:r>
    </w:p>
    <w:p>
      <w:pPr>
        <w:pStyle w:val="Heading2"/>
        <w:spacing w:after="140" w:before="320"/>
      </w:pPr>
      <w:r>
        <w:rPr>
          <w:b/>
          <w:bCs/>
          <w:color w:val="1F2937"/>
          <w:sz w:val="25"/>
          <w:szCs w:val="25"/>
        </w:rPr>
        <w:t xml:space="preserve">2.1 Platform tiering (platform_tier.py)</w:t>
      </w:r>
    </w:p>
    <w:p>
      <w:pPr>
        <w:spacing w:after="160" w:line="276"/>
      </w:pPr>
      <w:r>
        <w:rPr>
          <w:sz w:val="21"/>
          <w:szCs w:val="21"/>
        </w:rPr>
        <w:t xml:space="preserve">Assigns each protein a trust tier by measuring cross-platform agreement between ProCAN and CCLE proteomics on shared cell lines, so downstream scoring knows which proteins to trust from both platforms versus one only.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600"/>
        <w:gridCol w:w="6400"/>
      </w:tblGrid>
      <w:tr>
        <w:trPr>
          <w:tblHeader/>
        </w:trPr>
        <w:tc>
          <w:tcPr>
            <w:tcW w:type="dxa" w:w="3600"/>
            <w:shd w:fill="1F2937" w:val="clear"/>
            <w:tcMar>
              <w:top w:type="dxa" w:w="80"/>
              <w:left w:type="dxa" w:w="100"/>
              <w:bottom w:type="dxa" w:w="80"/>
              <w:right w:type="dxa" w:w="100"/>
            </w:tcMar>
            <w:vAlign w:val="center"/>
          </w:tcPr>
          <w:p>
            <w:pPr>
              <w:jc w:val="left"/>
            </w:pPr>
            <w:r>
              <w:rPr>
                <w:b/>
                <w:bCs/>
                <w:color w:val="FFFFFF"/>
                <w:sz w:val="19"/>
                <w:szCs w:val="19"/>
              </w:rPr>
              <w:t xml:space="preserve">Tier</w:t>
            </w:r>
          </w:p>
        </w:tc>
        <w:tc>
          <w:tcPr>
            <w:tcW w:type="dxa" w:w="6400"/>
            <w:shd w:fill="1F2937" w:val="clear"/>
            <w:tcMar>
              <w:top w:type="dxa" w:w="80"/>
              <w:left w:type="dxa" w:w="100"/>
              <w:bottom w:type="dxa" w:w="80"/>
              <w:right w:type="dxa" w:w="100"/>
            </w:tcMar>
            <w:vAlign w:val="center"/>
          </w:tcPr>
          <w:p>
            <w:pPr>
              <w:jc w:val="left"/>
            </w:pPr>
            <w:r>
              <w:rPr>
                <w:b/>
                <w:bCs/>
                <w:color w:val="FFFFFF"/>
                <w:sz w:val="19"/>
                <w:szCs w:val="19"/>
              </w:rPr>
              <w:t xml:space="preserve">Rule</w:t>
            </w:r>
          </w:p>
        </w:tc>
      </w:tr>
      <w:tr>
        <w:tc>
          <w:tcPr>
            <w:tcW w:type="dxa" w:w="3600"/>
            <w:tcMar>
              <w:top w:type="dxa" w:w="80"/>
              <w:left w:type="dxa" w:w="100"/>
              <w:bottom w:type="dxa" w:w="80"/>
              <w:right w:type="dxa" w:w="100"/>
            </w:tcMar>
            <w:vAlign w:val="center"/>
          </w:tcPr>
          <w:p>
            <w:pPr>
              <w:jc w:val="left"/>
            </w:pPr>
            <w:r>
              <w:rPr>
                <w:b w:val="false"/>
                <w:bCs w:val="false"/>
                <w:color w:val="111827"/>
                <w:sz w:val="19"/>
                <w:szCs w:val="19"/>
              </w:rPr>
              <w:t xml:space="preserve">consistent</w:t>
            </w:r>
          </w:p>
        </w:tc>
        <w:tc>
          <w:tcPr>
            <w:tcW w:type="dxa" w:w="6400"/>
            <w:tcMar>
              <w:top w:type="dxa" w:w="80"/>
              <w:left w:type="dxa" w:w="100"/>
              <w:bottom w:type="dxa" w:w="80"/>
              <w:right w:type="dxa" w:w="100"/>
            </w:tcMar>
            <w:vAlign w:val="center"/>
          </w:tcPr>
          <w:p>
            <w:pPr>
              <w:jc w:val="left"/>
            </w:pPr>
            <w:r>
              <w:rPr>
                <w:b w:val="false"/>
                <w:bCs w:val="false"/>
                <w:color w:val="111827"/>
                <w:sz w:val="19"/>
                <w:szCs w:val="19"/>
              </w:rPr>
              <w:t xml:space="preserve">Spearman ρ ≥ 0.50</w:t>
            </w:r>
          </w:p>
        </w:tc>
      </w:tr>
      <w:tr>
        <w:tc>
          <w:tcPr>
            <w:tcW w:type="dxa" w:w="3600"/>
            <w:shd w:fill="F3F4F6" w:val="clear"/>
            <w:tcMar>
              <w:top w:type="dxa" w:w="80"/>
              <w:left w:type="dxa" w:w="100"/>
              <w:bottom w:type="dxa" w:w="80"/>
              <w:right w:type="dxa" w:w="100"/>
            </w:tcMar>
            <w:vAlign w:val="center"/>
          </w:tcPr>
          <w:p>
            <w:pPr>
              <w:jc w:val="left"/>
            </w:pPr>
            <w:r>
              <w:rPr>
                <w:b w:val="false"/>
                <w:bCs w:val="false"/>
                <w:color w:val="111827"/>
                <w:sz w:val="19"/>
                <w:szCs w:val="19"/>
              </w:rPr>
              <w:t xml:space="preserve">cautious</w:t>
            </w:r>
          </w:p>
        </w:tc>
        <w:tc>
          <w:tcPr>
            <w:tcW w:type="dxa" w:w="6400"/>
            <w:shd w:fill="F3F4F6" w:val="clear"/>
            <w:tcMar>
              <w:top w:type="dxa" w:w="80"/>
              <w:left w:type="dxa" w:w="100"/>
              <w:bottom w:type="dxa" w:w="80"/>
              <w:right w:type="dxa" w:w="100"/>
            </w:tcMar>
            <w:vAlign w:val="center"/>
          </w:tcPr>
          <w:p>
            <w:pPr>
              <w:jc w:val="left"/>
            </w:pPr>
            <w:r>
              <w:rPr>
                <w:b w:val="false"/>
                <w:bCs w:val="false"/>
                <w:color w:val="111827"/>
                <w:sz w:val="19"/>
                <w:szCs w:val="19"/>
              </w:rPr>
              <w:t xml:space="preserve">0.30 ≤ ρ &lt; 0.50</w:t>
            </w:r>
          </w:p>
        </w:tc>
      </w:tr>
      <w:tr>
        <w:tc>
          <w:tcPr>
            <w:tcW w:type="dxa" w:w="3600"/>
            <w:tcMar>
              <w:top w:type="dxa" w:w="80"/>
              <w:left w:type="dxa" w:w="100"/>
              <w:bottom w:type="dxa" w:w="80"/>
              <w:right w:type="dxa" w:w="100"/>
            </w:tcMar>
            <w:vAlign w:val="center"/>
          </w:tcPr>
          <w:p>
            <w:pPr>
              <w:jc w:val="left"/>
            </w:pPr>
            <w:r>
              <w:rPr>
                <w:b w:val="false"/>
                <w:bCs w:val="false"/>
                <w:color w:val="111827"/>
                <w:sz w:val="19"/>
                <w:szCs w:val="19"/>
              </w:rPr>
              <w:t xml:space="preserve">conflicting</w:t>
            </w:r>
          </w:p>
        </w:tc>
        <w:tc>
          <w:tcPr>
            <w:tcW w:type="dxa" w:w="6400"/>
            <w:tcMar>
              <w:top w:type="dxa" w:w="80"/>
              <w:left w:type="dxa" w:w="100"/>
              <w:bottom w:type="dxa" w:w="80"/>
              <w:right w:type="dxa" w:w="100"/>
            </w:tcMar>
            <w:vAlign w:val="center"/>
          </w:tcPr>
          <w:p>
            <w:pPr>
              <w:jc w:val="left"/>
            </w:pPr>
            <w:r>
              <w:rPr>
                <w:b w:val="false"/>
                <w:bCs w:val="false"/>
                <w:color w:val="111827"/>
                <w:sz w:val="19"/>
                <w:szCs w:val="19"/>
              </w:rPr>
              <w:t xml:space="preserve">ρ &lt; 0.30 (ProCAN used alone downstream)</w:t>
            </w:r>
          </w:p>
        </w:tc>
      </w:tr>
    </w:tbl>
    <w:p>
      <w:pPr>
        <w:spacing w:after="120"/>
      </w:pPr>
    </w:p>
    <w:p>
      <w:pPr>
        <w:spacing w:after="160" w:line="276"/>
      </w:pPr>
      <w:r>
        <w:rPr>
          <w:sz w:val="21"/>
          <w:szCs w:val="21"/>
        </w:rPr>
        <w:t xml:space="preserve">A protein is only eligible for tiering with at least 44 shared cell lines between platforms (MIN_SHARED). Output: outputs/protein_platform_tier.parquet.</w:t>
      </w:r>
    </w:p>
    <w:p>
      <w:pPr>
        <w:spacing w:after="160" w:line="276"/>
      </w:pPr>
      <w:r>
        <w:rPr>
          <w:sz w:val="21"/>
          <w:szCs w:val="21"/>
        </w:rPr>
        <w:t xml:space="preserve">Independently checked by Testing/run_tests.py → test_protein_platform_overlap(): asserts the median cross-platform ρ falls in (0.30, 0.50), expected ≈ 0.37 — confirming the tiering distribution looks like real biological agreement rather than noise or a systematic platform artifact.</w:t>
      </w:r>
    </w:p>
    <w:p>
      <w:pPr>
        <w:pStyle w:val="Heading2"/>
        <w:spacing w:after="140" w:before="320"/>
      </w:pPr>
      <w:r>
        <w:rPr>
          <w:b/>
          <w:bCs/>
          <w:color w:val="1F2937"/>
          <w:sz w:val="25"/>
          <w:szCs w:val="25"/>
        </w:rPr>
        <w:t xml:space="preserve">2.2 Protein scoring, M2 revision (06_protein_score_M2.py)</w:t>
      </w:r>
    </w:p>
    <w:p>
      <w:pPr>
        <w:spacing w:after="160" w:line="276"/>
      </w:pPr>
      <w:r>
        <w:rPr>
          <w:sz w:val="21"/>
          <w:szCs w:val="21"/>
        </w:rPr>
        <w:t xml:space="preserve">The most methodologically elaborate validation logic in the pipeline. Three deliberate, documented changes over the base scorer:</w:t>
      </w:r>
    </w:p>
    <w:p>
      <w:pPr>
        <w:pStyle w:val="Heading3"/>
        <w:spacing w:after="100" w:before="220"/>
      </w:pPr>
      <w:r>
        <w:rPr>
          <w:b/>
          <w:bCs/>
          <w:color w:val="2563EB"/>
          <w:sz w:val="22"/>
          <w:szCs w:val="22"/>
        </w:rPr>
        <w:t xml:space="preserve">(a) Isoform concordance</w:t>
      </w:r>
    </w:p>
    <w:p>
      <w:pPr>
        <w:spacing w:after="160" w:line="276"/>
      </w:pPr>
      <w:r>
        <w:rPr>
          <w:sz w:val="21"/>
          <w:szCs w:val="21"/>
        </w:rPr>
        <w:t xml:space="preserve">When several UniProt IDs map to one gene, pairwise Spearman ρ is computed between all isoform columns on shared lines. If the minimum pairwise ρ clears a data-derived threshold, the gene value is the max abundance across isoforms (concordant case); otherwise it falls back to the mean, so one outlier isoform can’t dominate. A QC frame (protein_isoform_qc) records n_isoforms, pairs assessed, min pairwise ρ, and the rollup method used per gene.</w:t>
      </w:r>
    </w:p>
    <w:p>
      <w:pPr>
        <w:pStyle w:val="Heading3"/>
        <w:spacing w:after="100" w:before="220"/>
      </w:pPr>
      <w:r>
        <w:rPr>
          <w:b/>
          <w:bCs/>
          <w:color w:val="2563EB"/>
          <w:sz w:val="22"/>
          <w:szCs w:val="22"/>
        </w:rPr>
        <w:t xml:space="preserve">(b) Symmetric platform agreement</w:t>
      </w:r>
    </w:p>
    <w:p>
      <w:pPr>
        <w:spacing w:after="160" w:line="276"/>
      </w:pPr>
      <w:r>
        <w:rPr>
          <w:sz w:val="21"/>
          <w:szCs w:val="21"/>
        </w:rPr>
        <w:t xml:space="preserve">Per-gene Spearman ρ between ProCAN and CCLE maps to a confidence score in [0,1] via a data-derived band, not a fixed cutoff. Disagreement lowers confidence in the merged value rather than discarding either platform’s data — applied only where a gene has ≥ 2 sources.</w:t>
      </w:r>
    </w:p>
    <w:p>
      <w:pPr>
        <w:pStyle w:val="Heading3"/>
        <w:spacing w:after="100" w:before="220"/>
      </w:pPr>
      <w:r>
        <w:rPr>
          <w:b/>
          <w:bCs/>
          <w:color w:val="2563EB"/>
          <w:sz w:val="22"/>
          <w:szCs w:val="22"/>
        </w:rPr>
        <w:t xml:space="preserve">(c) Data-derived thresholds (not hardcoded)</w:t>
      </w:r>
    </w:p>
    <w:p>
      <w:pPr>
        <w:spacing w:after="160" w:line="276"/>
      </w:pPr>
      <w:r>
        <w:rPr>
          <w:sz w:val="21"/>
          <w:szCs w:val="21"/>
        </w:rPr>
        <w:t xml:space="preserve">Every threshold is estimated from null vs. matched permutation distributions plus statistical power, rather than chosen by hand:</w:t>
      </w:r>
    </w:p>
    <w:p>
      <w:pPr>
        <w:pStyle w:val="ListParagraph"/>
        <w:numPr>
          <w:ilvl w:val="0"/>
          <w:numId w:val="2"/>
        </w:numPr>
        <w:spacing w:after="90" w:line="260"/>
      </w:pPr>
      <w:r>
        <w:rPr>
          <w:b w:val="false"/>
          <w:bCs w:val="false"/>
          <w:i w:val="false"/>
          <w:iCs w:val="false"/>
          <w:sz w:val="21"/>
          <w:szCs w:val="21"/>
        </w:rPr>
        <w:t xml:space="preserve">_power_min_n(target_r, alpha): </w:t>
      </w:r>
      <w:r>
        <w:rPr>
          <w:b w:val="false"/>
          <w:bCs w:val="false"/>
          <w:i w:val="false"/>
          <w:iCs w:val="false"/>
          <w:sz w:val="21"/>
          <w:szCs w:val="21"/>
        </w:rPr>
        <w:t xml:space="preserve">smallest sample size at which |ρ| = target_r is significant at the given alpha (two-sided t-distribution) — sets the minimum-overlap requirements.</w:t>
      </w:r>
    </w:p>
    <w:p>
      <w:pPr>
        <w:pStyle w:val="ListParagraph"/>
        <w:numPr>
          <w:ilvl w:val="0"/>
          <w:numId w:val="2"/>
        </w:numPr>
        <w:spacing w:after="90" w:line="260"/>
      </w:pPr>
      <w:r>
        <w:rPr>
          <w:b w:val="false"/>
          <w:bCs w:val="false"/>
          <w:i w:val="false"/>
          <w:iCs w:val="false"/>
          <w:sz w:val="21"/>
          <w:szCs w:val="21"/>
        </w:rPr>
        <w:t xml:space="preserve">isoform_corr threshold: </w:t>
      </w:r>
      <w:r>
        <w:rPr>
          <w:b w:val="false"/>
          <w:bCs w:val="false"/>
          <w:i w:val="false"/>
          <w:iCs w:val="false"/>
          <w:sz w:val="21"/>
          <w:szCs w:val="21"/>
        </w:rPr>
        <w:t xml:space="preserve">the 95th percentile of a null distribution built from 1,500 randomly sampled unrelated protein pairs.</w:t>
      </w:r>
    </w:p>
    <w:p>
      <w:pPr>
        <w:pStyle w:val="ListParagraph"/>
        <w:numPr>
          <w:ilvl w:val="0"/>
          <w:numId w:val="2"/>
        </w:numPr>
        <w:spacing w:after="90" w:line="260"/>
      </w:pPr>
      <w:r>
        <w:rPr>
          <w:b w:val="false"/>
          <w:bCs w:val="false"/>
          <w:i w:val="false"/>
          <w:iCs w:val="false"/>
          <w:sz w:val="21"/>
          <w:szCs w:val="21"/>
        </w:rPr>
        <w:t xml:space="preserve">agree_low / agree_high: </w:t>
      </w:r>
      <w:r>
        <w:rPr>
          <w:b w:val="false"/>
          <w:bCs w:val="false"/>
          <w:i w:val="false"/>
          <w:iCs w:val="false"/>
          <w:sz w:val="21"/>
          <w:szCs w:val="21"/>
        </w:rPr>
        <w:t xml:space="preserve">agree_low is the 95th percentile of mismatched-gene cross-platform correlations (ProCAN gene g vs CCLE gene h≠g); agree_high is the greater of (agree_low + 0.10) or the 60th percentile of same-gene correlations — enforcing a minimum separation between “clearly disagreeing” and “clearly agreeing.”</w:t>
      </w:r>
    </w:p>
    <w:p>
      <w:pPr>
        <w:pStyle w:val="Heading3"/>
        <w:spacing w:after="100" w:before="220"/>
      </w:pPr>
      <w:r>
        <w:rPr>
          <w:b/>
          <w:bCs/>
          <w:color w:val="2563EB"/>
          <w:sz w:val="22"/>
          <w:szCs w:val="22"/>
        </w:rPr>
        <w:t xml:space="preserve">A regression the added guard caught</w:t>
      </w:r>
    </w:p>
    <w:p>
      <w:pPr>
        <w:spacing w:after="160" w:line="276"/>
      </w:pPr>
      <w:r>
        <w:rPr>
          <w:sz w:val="21"/>
          <w:szCs w:val="21"/>
        </w:rPr>
        <w:t xml:space="preserve">robust_z_matrix() gained a MIN_PEERS = 5 gate on 2026-08-25, with an explicit note that the prior version had no such gate: combined with a plain (non-NaN-aware) median/std, severely under-observed columns produced a real-but-spurious median/scale, driving extreme outlier z-scores (observed range roughly −143 to ‒80,725–fold beyond expected). The gate now forces such columns to NaN instead of a spurious z-score.</w:t>
      </w:r>
    </w:p>
    <w:p>
      <w:pPr>
        <w:pStyle w:val="Heading3"/>
        <w:spacing w:after="100" w:before="220"/>
      </w:pPr>
      <w:r>
        <w:rPr>
          <w:b/>
          <w:bCs/>
          <w:color w:val="2563EB"/>
          <w:sz w:val="22"/>
          <w:szCs w:val="22"/>
        </w:rPr>
        <w:t xml:space="preserve">Result (final_pipeline/02_Proteinomics/results/m2_thresholds.json)</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200"/>
        <w:gridCol w:w="3800"/>
      </w:tblGrid>
      <w:tr>
        <w:trPr>
          <w:tblHeader/>
        </w:trPr>
        <w:tc>
          <w:tcPr>
            <w:tcW w:type="dxa" w:w="4200"/>
            <w:shd w:fill="1F2937" w:val="clear"/>
            <w:tcMar>
              <w:top w:type="dxa" w:w="80"/>
              <w:left w:type="dxa" w:w="100"/>
              <w:bottom w:type="dxa" w:w="80"/>
              <w:right w:type="dxa" w:w="100"/>
            </w:tcMar>
            <w:vAlign w:val="center"/>
          </w:tcPr>
          <w:p>
            <w:pPr>
              <w:jc w:val="left"/>
            </w:pPr>
            <w:r>
              <w:rPr>
                <w:b/>
                <w:bCs/>
                <w:color w:val="FFFFFF"/>
                <w:sz w:val="19"/>
                <w:szCs w:val="19"/>
              </w:rPr>
              <w:t xml:space="preserve">Threshold</w:t>
            </w:r>
          </w:p>
        </w:tc>
        <w:tc>
          <w:tcPr>
            <w:tcW w:type="dxa" w:w="3800"/>
            <w:shd w:fill="1F2937" w:val="clear"/>
            <w:tcMar>
              <w:top w:type="dxa" w:w="80"/>
              <w:left w:type="dxa" w:w="100"/>
              <w:bottom w:type="dxa" w:w="80"/>
              <w:right w:type="dxa" w:w="100"/>
            </w:tcMar>
            <w:vAlign w:val="center"/>
          </w:tcPr>
          <w:p>
            <w:pPr>
              <w:jc w:val="left"/>
            </w:pPr>
            <w:r>
              <w:rPr>
                <w:b/>
                <w:bCs/>
                <w:color w:val="FFFFFF"/>
                <w:sz w:val="19"/>
                <w:szCs w:val="19"/>
              </w:rPr>
              <w:t xml:space="preserve">Value</w:t>
            </w:r>
          </w:p>
        </w:tc>
      </w:tr>
      <w:tr>
        <w:tc>
          <w:tcPr>
            <w:tcW w:type="dxa" w:w="4200"/>
            <w:tcMar>
              <w:top w:type="dxa" w:w="80"/>
              <w:left w:type="dxa" w:w="100"/>
              <w:bottom w:type="dxa" w:w="80"/>
              <w:right w:type="dxa" w:w="100"/>
            </w:tcMar>
            <w:vAlign w:val="center"/>
          </w:tcPr>
          <w:p>
            <w:pPr>
              <w:jc w:val="left"/>
            </w:pPr>
            <w:r>
              <w:rPr>
                <w:b w:val="false"/>
                <w:bCs w:val="false"/>
                <w:color w:val="111827"/>
                <w:sz w:val="19"/>
                <w:szCs w:val="19"/>
              </w:rPr>
              <w:t xml:space="preserve">isoform_corr</w:t>
            </w:r>
          </w:p>
        </w:tc>
        <w:tc>
          <w:tcPr>
            <w:tcW w:type="dxa" w:w="3800"/>
            <w:tcMar>
              <w:top w:type="dxa" w:w="80"/>
              <w:left w:type="dxa" w:w="100"/>
              <w:bottom w:type="dxa" w:w="80"/>
              <w:right w:type="dxa" w:w="100"/>
            </w:tcMar>
            <w:vAlign w:val="center"/>
          </w:tcPr>
          <w:p>
            <w:pPr>
              <w:jc w:val="left"/>
            </w:pPr>
            <w:r>
              <w:rPr>
                <w:b w:val="false"/>
                <w:bCs w:val="false"/>
                <w:color w:val="111827"/>
                <w:sz w:val="19"/>
                <w:szCs w:val="19"/>
              </w:rPr>
              <w:t xml:space="preserve">0.330</w:t>
            </w:r>
          </w:p>
        </w:tc>
      </w:tr>
      <w:tr>
        <w:tc>
          <w:tcPr>
            <w:tcW w:type="dxa" w:w="4200"/>
            <w:shd w:fill="F3F4F6" w:val="clear"/>
            <w:tcMar>
              <w:top w:type="dxa" w:w="80"/>
              <w:left w:type="dxa" w:w="100"/>
              <w:bottom w:type="dxa" w:w="80"/>
              <w:right w:type="dxa" w:w="100"/>
            </w:tcMar>
            <w:vAlign w:val="center"/>
          </w:tcPr>
          <w:p>
            <w:pPr>
              <w:jc w:val="left"/>
            </w:pPr>
            <w:r>
              <w:rPr>
                <w:b w:val="false"/>
                <w:bCs w:val="false"/>
                <w:color w:val="111827"/>
                <w:sz w:val="19"/>
                <w:szCs w:val="19"/>
              </w:rPr>
              <w:t xml:space="preserve">isoform_min_overlap</w:t>
            </w:r>
          </w:p>
        </w:tc>
        <w:tc>
          <w:tcPr>
            <w:tcW w:type="dxa" w:w="3800"/>
            <w:shd w:fill="F3F4F6" w:val="clear"/>
            <w:tcMar>
              <w:top w:type="dxa" w:w="80"/>
              <w:left w:type="dxa" w:w="100"/>
              <w:bottom w:type="dxa" w:w="80"/>
              <w:right w:type="dxa" w:w="100"/>
            </w:tcMar>
            <w:vAlign w:val="center"/>
          </w:tcPr>
          <w:p>
            <w:pPr>
              <w:jc w:val="left"/>
            </w:pPr>
            <w:r>
              <w:rPr>
                <w:b w:val="false"/>
                <w:bCs w:val="false"/>
                <w:color w:val="111827"/>
                <w:sz w:val="19"/>
                <w:szCs w:val="19"/>
              </w:rPr>
              <w:t xml:space="preserve">5</w:t>
            </w:r>
          </w:p>
        </w:tc>
      </w:tr>
      <w:tr>
        <w:tc>
          <w:tcPr>
            <w:tcW w:type="dxa" w:w="4200"/>
            <w:tcMar>
              <w:top w:type="dxa" w:w="80"/>
              <w:left w:type="dxa" w:w="100"/>
              <w:bottom w:type="dxa" w:w="80"/>
              <w:right w:type="dxa" w:w="100"/>
            </w:tcMar>
            <w:vAlign w:val="center"/>
          </w:tcPr>
          <w:p>
            <w:pPr>
              <w:jc w:val="left"/>
            </w:pPr>
            <w:r>
              <w:rPr>
                <w:b w:val="false"/>
                <w:bCs w:val="false"/>
                <w:color w:val="111827"/>
                <w:sz w:val="19"/>
                <w:szCs w:val="19"/>
              </w:rPr>
              <w:t xml:space="preserve">agree_low</w:t>
            </w:r>
          </w:p>
        </w:tc>
        <w:tc>
          <w:tcPr>
            <w:tcW w:type="dxa" w:w="3800"/>
            <w:tcMar>
              <w:top w:type="dxa" w:w="80"/>
              <w:left w:type="dxa" w:w="100"/>
              <w:bottom w:type="dxa" w:w="80"/>
              <w:right w:type="dxa" w:w="100"/>
            </w:tcMar>
            <w:vAlign w:val="center"/>
          </w:tcPr>
          <w:p>
            <w:pPr>
              <w:jc w:val="left"/>
            </w:pPr>
            <w:r>
              <w:rPr>
                <w:b w:val="false"/>
                <w:bCs w:val="false"/>
                <w:color w:val="111827"/>
                <w:sz w:val="19"/>
                <w:szCs w:val="19"/>
              </w:rPr>
              <w:t xml:space="preserve">0.266</w:t>
            </w:r>
          </w:p>
        </w:tc>
      </w:tr>
      <w:tr>
        <w:tc>
          <w:tcPr>
            <w:tcW w:type="dxa" w:w="4200"/>
            <w:shd w:fill="F3F4F6" w:val="clear"/>
            <w:tcMar>
              <w:top w:type="dxa" w:w="80"/>
              <w:left w:type="dxa" w:w="100"/>
              <w:bottom w:type="dxa" w:w="80"/>
              <w:right w:type="dxa" w:w="100"/>
            </w:tcMar>
            <w:vAlign w:val="center"/>
          </w:tcPr>
          <w:p>
            <w:pPr>
              <w:jc w:val="left"/>
            </w:pPr>
            <w:r>
              <w:rPr>
                <w:b w:val="false"/>
                <w:bCs w:val="false"/>
                <w:color w:val="111827"/>
                <w:sz w:val="19"/>
                <w:szCs w:val="19"/>
              </w:rPr>
              <w:t xml:space="preserve">agree_high</w:t>
            </w:r>
          </w:p>
        </w:tc>
        <w:tc>
          <w:tcPr>
            <w:tcW w:type="dxa" w:w="3800"/>
            <w:shd w:fill="F3F4F6" w:val="clear"/>
            <w:tcMar>
              <w:top w:type="dxa" w:w="80"/>
              <w:left w:type="dxa" w:w="100"/>
              <w:bottom w:type="dxa" w:w="80"/>
              <w:right w:type="dxa" w:w="100"/>
            </w:tcMar>
            <w:vAlign w:val="center"/>
          </w:tcPr>
          <w:p>
            <w:pPr>
              <w:jc w:val="left"/>
            </w:pPr>
            <w:r>
              <w:rPr>
                <w:b w:val="false"/>
                <w:bCs w:val="false"/>
                <w:color w:val="111827"/>
                <w:sz w:val="19"/>
                <w:szCs w:val="19"/>
              </w:rPr>
              <w:t xml:space="preserve">0.425</w:t>
            </w:r>
          </w:p>
        </w:tc>
      </w:tr>
      <w:tr>
        <w:tc>
          <w:tcPr>
            <w:tcW w:type="dxa" w:w="4200"/>
            <w:tcMar>
              <w:top w:type="dxa" w:w="80"/>
              <w:left w:type="dxa" w:w="100"/>
              <w:bottom w:type="dxa" w:w="80"/>
              <w:right w:type="dxa" w:w="100"/>
            </w:tcMar>
            <w:vAlign w:val="center"/>
          </w:tcPr>
          <w:p>
            <w:pPr>
              <w:jc w:val="left"/>
            </w:pPr>
            <w:r>
              <w:rPr>
                <w:b w:val="false"/>
                <w:bCs w:val="false"/>
                <w:color w:val="111827"/>
                <w:sz w:val="19"/>
                <w:szCs w:val="19"/>
              </w:rPr>
              <w:t xml:space="preserve">min_shared</w:t>
            </w:r>
          </w:p>
        </w:tc>
        <w:tc>
          <w:tcPr>
            <w:tcW w:type="dxa" w:w="3800"/>
            <w:tcMar>
              <w:top w:type="dxa" w:w="80"/>
              <w:left w:type="dxa" w:w="100"/>
              <w:bottom w:type="dxa" w:w="80"/>
              <w:right w:type="dxa" w:w="100"/>
            </w:tcMar>
            <w:vAlign w:val="center"/>
          </w:tcPr>
          <w:p>
            <w:pPr>
              <w:jc w:val="left"/>
            </w:pPr>
            <w:r>
              <w:rPr>
                <w:b w:val="false"/>
                <w:bCs w:val="false"/>
                <w:color w:val="111827"/>
                <w:sz w:val="19"/>
                <w:szCs w:val="19"/>
              </w:rPr>
              <w:t xml:space="preserve">55</w:t>
            </w:r>
          </w:p>
        </w:tc>
      </w:tr>
      <w:tr>
        <w:tc>
          <w:tcPr>
            <w:tcW w:type="dxa" w:w="4200"/>
            <w:shd w:fill="F3F4F6" w:val="clear"/>
            <w:tcMar>
              <w:top w:type="dxa" w:w="80"/>
              <w:left w:type="dxa" w:w="100"/>
              <w:bottom w:type="dxa" w:w="80"/>
              <w:right w:type="dxa" w:w="100"/>
            </w:tcMar>
            <w:vAlign w:val="center"/>
          </w:tcPr>
          <w:p>
            <w:pPr>
              <w:jc w:val="left"/>
            </w:pPr>
            <w:r>
              <w:rPr>
                <w:b w:val="false"/>
                <w:bCs w:val="false"/>
                <w:color w:val="111827"/>
                <w:sz w:val="19"/>
                <w:szCs w:val="19"/>
              </w:rPr>
              <w:t xml:space="preserve">seed_overlap</w:t>
            </w:r>
          </w:p>
        </w:tc>
        <w:tc>
          <w:tcPr>
            <w:tcW w:type="dxa" w:w="3800"/>
            <w:shd w:fill="F3F4F6" w:val="clear"/>
            <w:tcMar>
              <w:top w:type="dxa" w:w="80"/>
              <w:left w:type="dxa" w:w="100"/>
              <w:bottom w:type="dxa" w:w="80"/>
              <w:right w:type="dxa" w:w="100"/>
            </w:tcMar>
            <w:vAlign w:val="center"/>
          </w:tcPr>
          <w:p>
            <w:pPr>
              <w:jc w:val="left"/>
            </w:pPr>
            <w:r>
              <w:rPr>
                <w:b w:val="false"/>
                <w:bCs w:val="false"/>
                <w:color w:val="111827"/>
                <w:sz w:val="19"/>
                <w:szCs w:val="19"/>
              </w:rPr>
              <w:t xml:space="preserve">5</w:t>
            </w:r>
          </w:p>
        </w:tc>
      </w:tr>
    </w:tbl>
    <w:p>
      <w:pPr>
        <w:spacing w:after="120"/>
      </w:pPr>
    </w:p>
    <w:p>
      <w:pPr>
        <w:spacing w:after="160" w:line="276"/>
      </w:pPr>
      <w:r>
        <w:rPr>
          <w:sz w:val="21"/>
          <w:szCs w:val="21"/>
        </w:rPr>
        <w:t xml:space="preserve">A manual data-provenance check (documented in code comments, not automated) confirmed the warehouse’s procan_proteomics table is byte-identical to the raw source TSV after ID resolution: 8,453/8,453 protein columns matched, 948/948 cell lines resolved 1:1, and sampled values were byte-identical.</w:t>
      </w:r>
    </w:p>
    <w:p>
      <w:r>
        <w:br w:type="page"/>
      </w:r>
    </w:p>
    <w:p>
      <w:pPr>
        <w:pStyle w:val="Heading1"/>
        <w:spacing w:after="200" w:before="480"/>
      </w:pPr>
      <w:r>
        <w:rPr>
          <w:b/>
          <w:bCs/>
          <w:color w:val="1F2937"/>
          <w:sz w:val="30"/>
          <w:szCs w:val="30"/>
        </w:rPr>
        <w:t xml:space="preserve">3. Warehouse audit</w:t>
      </w:r>
    </w:p>
    <w:p>
      <w:pPr>
        <w:spacing w:after="160" w:line="276"/>
      </w:pPr>
      <w:r>
        <w:rPr>
          <w:rFonts w:ascii="Consolas" w:cs="Consolas" w:eastAsia="Consolas" w:hAnsi="Consolas"/>
          <w:color w:val="6B7280"/>
          <w:sz w:val="19"/>
          <w:szCs w:val="19"/>
        </w:rPr>
        <w:t xml:space="preserve">final_pipeline/audit_warehouse.py</w:t>
      </w:r>
    </w:p>
    <w:p>
      <w:pPr>
        <w:spacing w:after="160" w:line="276"/>
      </w:pPr>
      <w:r>
        <w:rPr>
          <w:sz w:val="21"/>
          <w:szCs w:val="21"/>
        </w:rPr>
        <w:t xml:space="preserve">A read-only diagnostic pass over celllineselector.db (every connection opened read_only=True; nothing is written). Two parts:</w:t>
      </w:r>
    </w:p>
    <w:p>
      <w:pPr>
        <w:pStyle w:val="Heading3"/>
        <w:spacing w:after="100" w:before="220"/>
      </w:pPr>
      <w:r>
        <w:rPr>
          <w:b/>
          <w:bCs/>
          <w:color w:val="2563EB"/>
          <w:sz w:val="22"/>
          <w:szCs w:val="22"/>
        </w:rPr>
        <w:t xml:space="preserve">Part A — species / non-human contamination</w:t>
      </w:r>
    </w:p>
    <w:p>
      <w:pPr>
        <w:pStyle w:val="ListParagraph"/>
        <w:numPr>
          <w:ilvl w:val="0"/>
          <w:numId w:val="2"/>
        </w:numPr>
        <w:spacing w:after="90" w:line="260"/>
      </w:pPr>
      <w:r>
        <w:rPr>
          <w:sz w:val="21"/>
          <w:szCs w:val="21"/>
        </w:rPr>
        <w:t xml:space="preserve">Scans all table columns for species-like names (species|organism|taxon|host) and profiles sample_info and geo_info directly.</w:t>
      </w:r>
    </w:p>
    <w:p>
      <w:pPr>
        <w:pStyle w:val="ListParagraph"/>
        <w:numPr>
          <w:ilvl w:val="0"/>
          <w:numId w:val="2"/>
        </w:numPr>
        <w:spacing w:after="90" w:line="260"/>
      </w:pPr>
      <w:r>
        <w:rPr>
          <w:sz w:val="21"/>
          <w:szCs w:val="21"/>
        </w:rPr>
        <w:t xml:space="preserve">Runs a keyword scan for mouse/rat/human mentions in GEO platform characteristics/source-name text — explicitly documented as a candidate flag only, not authoritative (xenograft mentions produce expected false positives).</w:t>
      </w:r>
    </w:p>
    <w:p>
      <w:pPr>
        <w:pStyle w:val="ListParagraph"/>
        <w:numPr>
          <w:ilvl w:val="0"/>
          <w:numId w:val="2"/>
        </w:numPr>
        <w:spacing w:after="90" w:line="260"/>
      </w:pPr>
      <w:r>
        <w:rPr>
          <w:sz w:val="21"/>
          <w:szCs w:val="21"/>
        </w:rPr>
        <w:t xml:space="preserve">Checks RRID coverage per table as the authoritative check-in-waiting for an offline Cellosaurus cross-reference.</w:t>
      </w:r>
    </w:p>
    <w:p>
      <w:pPr>
        <w:pStyle w:val="ListParagraph"/>
        <w:numPr>
          <w:ilvl w:val="0"/>
          <w:numId w:val="2"/>
        </w:numPr>
        <w:spacing w:after="90" w:line="260"/>
      </w:pPr>
      <w:r>
        <w:rPr>
          <w:sz w:val="21"/>
          <w:szCs w:val="21"/>
        </w:rPr>
        <w:t xml:space="preserve">Sanity-checks total distinct model_id counts against known panel sizes (DepMap ≈ 1,800; CCLE ≈ 1,000; GDSC ≈ 1,000).</w:t>
      </w:r>
    </w:p>
    <w:p>
      <w:pPr>
        <w:pStyle w:val="Heading3"/>
        <w:spacing w:after="100" w:before="220"/>
      </w:pPr>
      <w:r>
        <w:rPr>
          <w:b/>
          <w:bCs/>
          <w:color w:val="2563EB"/>
          <w:sz w:val="22"/>
          <w:szCs w:val="22"/>
        </w:rPr>
        <w:t xml:space="preserve">Part B — enrichment discovery</w:t>
      </w:r>
    </w:p>
    <w:p>
      <w:pPr>
        <w:spacing w:after="160" w:line="276"/>
      </w:pPr>
      <w:r>
        <w:rPr>
          <w:sz w:val="21"/>
          <w:szCs w:val="21"/>
        </w:rPr>
        <w:t xml:space="preserve">Full schema inventory (table × column × type × row count), heuristic detection of unused “display/enrichment” metadata columns versus already-scored numeric columns, null-rate profiling, and a cross-reference against every pipeline output parquet already produced, to flag genuinely unused warehouse metadata.</w:t>
      </w:r>
    </w:p>
    <w:p>
      <w:pPr>
        <w:pStyle w:val="Heading3"/>
        <w:spacing w:after="100" w:before="220"/>
      </w:pPr>
      <w:r>
        <w:rPr>
          <w:b/>
          <w:bCs/>
          <w:color w:val="2563EB"/>
          <w:sz w:val="22"/>
          <w:szCs w:val="22"/>
        </w:rPr>
        <w:t xml:space="preserve">Result</w:t>
      </w:r>
    </w:p>
    <w:p>
      <w:pPr>
        <w:spacing w:after="160" w:line="276"/>
      </w:pPr>
      <w:r>
        <w:rPr>
          <w:sz w:val="21"/>
          <w:szCs w:val="21"/>
        </w:rPr>
        <w:t xml:space="preserve">outputs/audit_warehouse_output.txt (69,255 lines) confirms 28 base tables in the warehouse and 3 species-like columns (cellosaurus.species of origin, gdsc_models.species, geo_info.organism_ch1). Follow-on manual review artifacts from the recommended Cellosaurus cross-reference — outputs/lineage_tissue_review_singletons.csv and lineage_tissue_review_fibroblast.csv — record per-model_id misclassification review (e.g. one line originally believed to be melanoma is documented as fibroblastic on cross-check).</w:t>
      </w:r>
    </w:p>
    <w:p>
      <w:pPr>
        <w:pStyle w:val="Heading2"/>
        <w:spacing w:after="140" w:before="320"/>
      </w:pPr>
      <w:r>
        <w:rPr>
          <w:b/>
          <w:bCs/>
          <w:color w:val="1F2937"/>
          <w:sz w:val="25"/>
          <w:szCs w:val="25"/>
        </w:rPr>
        <w:t xml:space="preserve">3.1 Schema migration correctness (apply_transcriptomics_renames.py)</w:t>
      </w:r>
    </w:p>
    <w:p>
      <w:pPr>
        <w:spacing w:after="160" w:line="276"/>
      </w:pPr>
      <w:r>
        <w:rPr>
          <w:sz w:val="21"/>
          <w:szCs w:val="21"/>
        </w:rPr>
        <w:t xml:space="preserve">An idempotent migration script with embedded validation reasoning rather than a standalone test: column renames are each guarded by an “already renamed?” check so reruns are safe, and two duplicate-GSM rows in geo_expr that broke the new pipeline’s 1:1 raw_id→model_id assumption are dropped, each justified per-row against the warehouse’s own authoritative resolver (geo_info.n_model_id / is_ambiguous) with an inline why string.</w:t>
      </w:r>
    </w:p>
    <w:p>
      <w:pPr>
        <w:pStyle w:val="Heading2"/>
        <w:spacing w:after="140" w:before="320"/>
      </w:pPr>
      <w:r>
        <w:rPr>
          <w:b/>
          <w:bCs/>
          <w:color w:val="1F2937"/>
          <w:sz w:val="25"/>
          <w:szCs w:val="25"/>
        </w:rPr>
        <w:t xml:space="preserve">3.2 Shared QC primitives (utils/common.py)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800"/>
      </w:tblGrid>
      <w:tr>
        <w:trPr>
          <w:tblHeader/>
        </w:trPr>
        <w:tc>
          <w:tcPr>
            <w:tcW w:type="dxa" w:w="2600"/>
            <w:shd w:fill="1F2937" w:val="clear"/>
            <w:tcMar>
              <w:top w:type="dxa" w:w="80"/>
              <w:left w:type="dxa" w:w="100"/>
              <w:bottom w:type="dxa" w:w="80"/>
              <w:right w:type="dxa" w:w="100"/>
            </w:tcMar>
            <w:vAlign w:val="center"/>
          </w:tcPr>
          <w:p>
            <w:pPr>
              <w:jc w:val="left"/>
            </w:pPr>
            <w:r>
              <w:rPr>
                <w:b/>
                <w:bCs/>
                <w:color w:val="FFFFFF"/>
                <w:sz w:val="19"/>
                <w:szCs w:val="19"/>
              </w:rPr>
              <w:t xml:space="preserve">Constant</w:t>
            </w:r>
          </w:p>
        </w:tc>
        <w:tc>
          <w:tcPr>
            <w:tcW w:type="dxa" w:w="1600"/>
            <w:shd w:fill="1F2937" w:val="clear"/>
            <w:tcMar>
              <w:top w:type="dxa" w:w="80"/>
              <w:left w:type="dxa" w:w="100"/>
              <w:bottom w:type="dxa" w:w="80"/>
              <w:right w:type="dxa" w:w="100"/>
            </w:tcMar>
            <w:vAlign w:val="center"/>
          </w:tcPr>
          <w:p>
            <w:pPr>
              <w:jc w:val="left"/>
            </w:pPr>
            <w:r>
              <w:rPr>
                <w:b/>
                <w:bCs/>
                <w:color w:val="FFFFFF"/>
                <w:sz w:val="19"/>
                <w:szCs w:val="19"/>
              </w:rPr>
              <w:t xml:space="preserve">Value</w:t>
            </w:r>
          </w:p>
        </w:tc>
        <w:tc>
          <w:tcPr>
            <w:tcW w:type="dxa" w:w="5800"/>
            <w:shd w:fill="1F2937" w:val="clear"/>
            <w:tcMar>
              <w:top w:type="dxa" w:w="80"/>
              <w:left w:type="dxa" w:w="100"/>
              <w:bottom w:type="dxa" w:w="80"/>
              <w:right w:type="dxa" w:w="100"/>
            </w:tcMar>
            <w:vAlign w:val="center"/>
          </w:tcPr>
          <w:p>
            <w:pPr>
              <w:jc w:val="left"/>
            </w:pPr>
            <w:r>
              <w:rPr>
                <w:b/>
                <w:bCs/>
                <w:color w:val="FFFFFF"/>
                <w:sz w:val="19"/>
                <w:szCs w:val="19"/>
              </w:rPr>
              <w:t xml:space="preserve">Purpose</w:t>
            </w:r>
          </w:p>
        </w:tc>
      </w:tr>
      <w:tr>
        <w:tc>
          <w:tcPr>
            <w:tcW w:type="dxa" w:w="2600"/>
            <w:tcMar>
              <w:top w:type="dxa" w:w="80"/>
              <w:left w:type="dxa" w:w="100"/>
              <w:bottom w:type="dxa" w:w="80"/>
              <w:right w:type="dxa" w:w="100"/>
            </w:tcMar>
            <w:vAlign w:val="center"/>
          </w:tcPr>
          <w:p>
            <w:pPr>
              <w:jc w:val="left"/>
            </w:pPr>
            <w:r>
              <w:rPr>
                <w:b w:val="false"/>
                <w:bCs w:val="false"/>
                <w:color w:val="111827"/>
                <w:sz w:val="19"/>
                <w:szCs w:val="19"/>
              </w:rPr>
              <w:t xml:space="preserve">EXPRESSED_MIN</w:t>
            </w:r>
          </w:p>
        </w:tc>
        <w:tc>
          <w:tcPr>
            <w:tcW w:type="dxa" w:w="1600"/>
            <w:tcMar>
              <w:top w:type="dxa" w:w="80"/>
              <w:left w:type="dxa" w:w="100"/>
              <w:bottom w:type="dxa" w:w="80"/>
              <w:right w:type="dxa" w:w="100"/>
            </w:tcMar>
            <w:vAlign w:val="center"/>
          </w:tcPr>
          <w:p>
            <w:pPr>
              <w:jc w:val="left"/>
            </w:pPr>
            <w:r>
              <w:rPr>
                <w:b w:val="false"/>
                <w:bCs w:val="false"/>
                <w:color w:val="111827"/>
                <w:sz w:val="19"/>
                <w:szCs w:val="19"/>
              </w:rPr>
              <w:t xml:space="preserve">1.0</w:t>
            </w:r>
          </w:p>
        </w:tc>
        <w:tc>
          <w:tcPr>
            <w:tcW w:type="dxa" w:w="5800"/>
            <w:tcMar>
              <w:top w:type="dxa" w:w="80"/>
              <w:left w:type="dxa" w:w="100"/>
              <w:bottom w:type="dxa" w:w="80"/>
              <w:right w:type="dxa" w:w="100"/>
            </w:tcMar>
            <w:vAlign w:val="center"/>
          </w:tcPr>
          <w:p>
            <w:pPr>
              <w:jc w:val="left"/>
            </w:pPr>
            <w:r>
              <w:rPr>
                <w:b w:val="false"/>
                <w:bCs w:val="false"/>
                <w:color w:val="111827"/>
                <w:sz w:val="19"/>
                <w:szCs w:val="19"/>
              </w:rPr>
              <w:t xml:space="preserve">log2(TPM+1) detection cutoff (HPA/Uhlén 2015)</w:t>
            </w:r>
          </w:p>
        </w:tc>
      </w:tr>
      <w:tr>
        <w:tc>
          <w:tcPr>
            <w:tcW w:type="dxa" w:w="2600"/>
            <w:shd w:fill="F3F4F6" w:val="clear"/>
            <w:tcMar>
              <w:top w:type="dxa" w:w="80"/>
              <w:left w:type="dxa" w:w="100"/>
              <w:bottom w:type="dxa" w:w="80"/>
              <w:right w:type="dxa" w:w="100"/>
            </w:tcMar>
            <w:vAlign w:val="center"/>
          </w:tcPr>
          <w:p>
            <w:pPr>
              <w:jc w:val="left"/>
            </w:pPr>
            <w:r>
              <w:rPr>
                <w:b w:val="false"/>
                <w:bCs w:val="false"/>
                <w:color w:val="111827"/>
                <w:sz w:val="19"/>
                <w:szCs w:val="19"/>
              </w:rPr>
              <w:t xml:space="preserve">SILENT_FRAC</w:t>
            </w:r>
          </w:p>
        </w:tc>
        <w:tc>
          <w:tcPr>
            <w:tcW w:type="dxa" w:w="1600"/>
            <w:shd w:fill="F3F4F6" w:val="clear"/>
            <w:tcMar>
              <w:top w:type="dxa" w:w="80"/>
              <w:left w:type="dxa" w:w="100"/>
              <w:bottom w:type="dxa" w:w="80"/>
              <w:right w:type="dxa" w:w="100"/>
            </w:tcMar>
            <w:vAlign w:val="center"/>
          </w:tcPr>
          <w:p>
            <w:pPr>
              <w:jc w:val="left"/>
            </w:pPr>
            <w:r>
              <w:rPr>
                <w:b w:val="false"/>
                <w:bCs w:val="false"/>
                <w:color w:val="111827"/>
                <w:sz w:val="19"/>
                <w:szCs w:val="19"/>
              </w:rPr>
              <w:t xml:space="preserve">0.20</w:t>
            </w:r>
          </w:p>
        </w:tc>
        <w:tc>
          <w:tcPr>
            <w:tcW w:type="dxa" w:w="5800"/>
            <w:shd w:fill="F3F4F6" w:val="clear"/>
            <w:tcMar>
              <w:top w:type="dxa" w:w="80"/>
              <w:left w:type="dxa" w:w="100"/>
              <w:bottom w:type="dxa" w:w="80"/>
              <w:right w:type="dxa" w:w="100"/>
            </w:tcMar>
            <w:vAlign w:val="center"/>
          </w:tcPr>
          <w:p>
            <w:pPr>
              <w:jc w:val="left"/>
            </w:pPr>
            <w:r>
              <w:rPr>
                <w:b w:val="false"/>
                <w:bCs w:val="false"/>
                <w:color w:val="111827"/>
                <w:sz w:val="19"/>
                <w:szCs w:val="19"/>
              </w:rPr>
              <w:t xml:space="preserve">gene needs ≥20% of lineage lines expressing it, else z-scores are uninformative</w:t>
            </w:r>
          </w:p>
        </w:tc>
      </w:tr>
      <w:tr>
        <w:tc>
          <w:tcPr>
            <w:tcW w:type="dxa" w:w="2600"/>
            <w:tcMar>
              <w:top w:type="dxa" w:w="80"/>
              <w:left w:type="dxa" w:w="100"/>
              <w:bottom w:type="dxa" w:w="80"/>
              <w:right w:type="dxa" w:w="100"/>
            </w:tcMar>
            <w:vAlign w:val="center"/>
          </w:tcPr>
          <w:p>
            <w:pPr>
              <w:jc w:val="left"/>
            </w:pPr>
            <w:r>
              <w:rPr>
                <w:b w:val="false"/>
                <w:bCs w:val="false"/>
                <w:color w:val="111827"/>
                <w:sz w:val="19"/>
                <w:szCs w:val="19"/>
              </w:rPr>
              <w:t xml:space="preserve">MAD_FLOOR</w:t>
            </w:r>
          </w:p>
        </w:tc>
        <w:tc>
          <w:tcPr>
            <w:tcW w:type="dxa" w:w="1600"/>
            <w:tcMar>
              <w:top w:type="dxa" w:w="80"/>
              <w:left w:type="dxa" w:w="100"/>
              <w:bottom w:type="dxa" w:w="80"/>
              <w:right w:type="dxa" w:w="100"/>
            </w:tcMar>
            <w:vAlign w:val="center"/>
          </w:tcPr>
          <w:p>
            <w:pPr>
              <w:jc w:val="left"/>
            </w:pPr>
            <w:r>
              <w:rPr>
                <w:b w:val="false"/>
                <w:bCs w:val="false"/>
                <w:color w:val="111827"/>
                <w:sz w:val="19"/>
                <w:szCs w:val="19"/>
              </w:rPr>
              <w:t xml:space="preserve">0.384</w:t>
            </w:r>
          </w:p>
        </w:tc>
        <w:tc>
          <w:tcPr>
            <w:tcW w:type="dxa" w:w="5800"/>
            <w:tcMar>
              <w:top w:type="dxa" w:w="80"/>
              <w:left w:type="dxa" w:w="100"/>
              <w:bottom w:type="dxa" w:w="80"/>
              <w:right w:type="dxa" w:w="100"/>
            </w:tcMar>
            <w:vAlign w:val="center"/>
          </w:tcPr>
          <w:p>
            <w:pPr>
              <w:jc w:val="left"/>
            </w:pPr>
            <w:r>
              <w:rPr>
                <w:b w:val="false"/>
                <w:bCs w:val="false"/>
                <w:color w:val="111827"/>
                <w:sz w:val="19"/>
                <w:szCs w:val="19"/>
              </w:rPr>
              <w:t xml:space="preserve">calibrated against the shared transcriptomics notebook</w:t>
            </w:r>
          </w:p>
        </w:tc>
      </w:tr>
      <w:tr>
        <w:tc>
          <w:tcPr>
            <w:tcW w:type="dxa" w:w="2600"/>
            <w:shd w:fill="F3F4F6" w:val="clear"/>
            <w:tcMar>
              <w:top w:type="dxa" w:w="80"/>
              <w:left w:type="dxa" w:w="100"/>
              <w:bottom w:type="dxa" w:w="80"/>
              <w:right w:type="dxa" w:w="100"/>
            </w:tcMar>
            <w:vAlign w:val="center"/>
          </w:tcPr>
          <w:p>
            <w:pPr>
              <w:jc w:val="left"/>
            </w:pPr>
            <w:r>
              <w:rPr>
                <w:b w:val="false"/>
                <w:bCs w:val="false"/>
                <w:color w:val="111827"/>
                <w:sz w:val="19"/>
                <w:szCs w:val="19"/>
              </w:rPr>
              <w:t xml:space="preserve">MIN_PEERS</w:t>
            </w:r>
          </w:p>
        </w:tc>
        <w:tc>
          <w:tcPr>
            <w:tcW w:type="dxa" w:w="1600"/>
            <w:shd w:fill="F3F4F6" w:val="clear"/>
            <w:tcMar>
              <w:top w:type="dxa" w:w="80"/>
              <w:left w:type="dxa" w:w="100"/>
              <w:bottom w:type="dxa" w:w="80"/>
              <w:right w:type="dxa" w:w="100"/>
            </w:tcMar>
            <w:vAlign w:val="center"/>
          </w:tcPr>
          <w:p>
            <w:pPr>
              <w:jc w:val="left"/>
            </w:pPr>
            <w:r>
              <w:rPr>
                <w:b w:val="false"/>
                <w:bCs w:val="false"/>
                <w:color w:val="111827"/>
                <w:sz w:val="19"/>
                <w:szCs w:val="19"/>
              </w:rPr>
              <w:t xml:space="preserve">5</w:t>
            </w:r>
          </w:p>
        </w:tc>
        <w:tc>
          <w:tcPr>
            <w:tcW w:type="dxa" w:w="5800"/>
            <w:shd w:fill="F3F4F6" w:val="clear"/>
            <w:tcMar>
              <w:top w:type="dxa" w:w="80"/>
              <w:left w:type="dxa" w:w="100"/>
              <w:bottom w:type="dxa" w:w="80"/>
              <w:right w:type="dxa" w:w="100"/>
            </w:tcMar>
            <w:vAlign w:val="center"/>
          </w:tcPr>
          <w:p>
            <w:pPr>
              <w:jc w:val="left"/>
            </w:pPr>
            <w:r>
              <w:rPr>
                <w:b w:val="false"/>
                <w:bCs w:val="false"/>
                <w:color w:val="111827"/>
                <w:sz w:val="19"/>
                <w:szCs w:val="19"/>
              </w:rPr>
              <w:t xml:space="preserve">minimum within-source-lineage peers before a z-score is trusted</w:t>
            </w:r>
          </w:p>
        </w:tc>
      </w:tr>
    </w:tbl>
    <w:p>
      <w:pPr>
        <w:spacing w:after="120"/>
      </w:pPr>
    </w:p>
    <w:p>
      <w:pPr>
        <w:spacing w:after="160" w:line="276"/>
      </w:pPr>
      <w:r>
        <w:rPr>
          <w:sz w:val="21"/>
          <w:szCs w:val="21"/>
        </w:rPr>
        <w:t xml:space="preserve">A “silence guard” (added 2026-08-15, documented inline) restores a check present in the original source notebook but dropped during adaptation: z-scores are masked to NaN wherever frac_expressed &lt; SILENT_FRAC. stouffer_combine() applies an explicitly-flagged, not-yet-theoretically-derived conservative shrinkage penalty (√(n_sources_total / n_observed)) for sparse-source measurements, documented as a deliberate epistemic discount rather than a hard exclusion.</w:t>
      </w:r>
    </w:p>
    <w:p>
      <w:r>
        <w:br w:type="page"/>
      </w:r>
    </w:p>
    <w:p>
      <w:pPr>
        <w:pStyle w:val="Heading1"/>
        <w:spacing w:after="200" w:before="480"/>
      </w:pPr>
      <w:r>
        <w:rPr>
          <w:b/>
          <w:bCs/>
          <w:color w:val="1F2937"/>
          <w:sz w:val="30"/>
          <w:szCs w:val="30"/>
        </w:rPr>
        <w:t xml:space="preserve">4. Gate audit — statistical re-examination of the abundance gate</w:t>
      </w:r>
    </w:p>
    <w:p>
      <w:pPr>
        <w:spacing w:after="160" w:line="276"/>
      </w:pPr>
      <w:r>
        <w:rPr>
          <w:rFonts w:ascii="Consolas" w:cs="Consolas" w:eastAsia="Consolas" w:hAnsi="Consolas"/>
          <w:color w:val="6B7280"/>
          <w:sz w:val="19"/>
          <w:szCs w:val="19"/>
        </w:rPr>
        <w:t xml:space="preserve">gate_audit/ (repository root)</w:t>
      </w:r>
    </w:p>
    <w:p>
      <w:pPr>
        <w:spacing w:after="160" w:line="276"/>
      </w:pPr>
      <w:r>
        <w:rPr>
          <w:sz w:val="21"/>
          <w:szCs w:val="21"/>
        </w:rPr>
        <w:t xml:space="preserve">This is the largest and most rigorous validation body in the project: a self-contained, read-only re-audit of a single upstream result — the claim that low RNA abundance predicts reduced CRISPR dependency (the “abundance gate”, originally produced by src/pipeline/test_run_abundance_gate.py). Every audit script shares one panel-building module (common.py) so that all ten audits are arguing about statistics on identical inputs, not re-deriving their own data.</w:t>
      </w:r>
    </w:p>
    <w:p>
      <w:pPr>
        <w:pStyle w:val="Heading2"/>
        <w:spacing w:after="140" w:before="320"/>
      </w:pPr>
      <w:r>
        <w:rPr>
          <w:b/>
          <w:bCs/>
          <w:color w:val="1F2937"/>
          <w:sz w:val="25"/>
          <w:szCs w:val="25"/>
        </w:rPr>
        <w:t xml:space="preserve">4.1 Shared infrastructure</w:t>
      </w:r>
    </w:p>
    <w:p>
      <w:pPr>
        <w:pStyle w:val="ListParagraph"/>
        <w:numPr>
          <w:ilvl w:val="0"/>
          <w:numId w:val="2"/>
        </w:numPr>
        <w:spacing w:after="90" w:line="260"/>
      </w:pPr>
      <w:r>
        <w:rPr>
          <w:b w:val="false"/>
          <w:bCs w:val="false"/>
          <w:i w:val="false"/>
          <w:iCs w:val="false"/>
          <w:sz w:val="21"/>
          <w:szCs w:val="21"/>
        </w:rPr>
        <w:t xml:space="preserve">common.py (690 lines): </w:t>
      </w:r>
      <w:r>
        <w:rPr>
          <w:b w:val="false"/>
          <w:bCs w:val="false"/>
          <w:i w:val="false"/>
          <w:iCs w:val="false"/>
          <w:sz w:val="21"/>
          <w:szCs w:val="21"/>
        </w:rPr>
        <w:t xml:space="preserve">defines DEP_THRESHOLD = −0.5, van-der-Waerden rank percentiles, decile assignment, ROC/partial-AUROC, tie statistics, and gate summarisation used identically by every audit.</w:t>
      </w:r>
    </w:p>
    <w:p>
      <w:pPr>
        <w:pStyle w:val="ListParagraph"/>
        <w:numPr>
          <w:ilvl w:val="0"/>
          <w:numId w:val="2"/>
        </w:numPr>
        <w:spacing w:after="90" w:line="260"/>
      </w:pPr>
      <w:r>
        <w:rPr>
          <w:b w:val="false"/>
          <w:bCs w:val="false"/>
          <w:i w:val="false"/>
          <w:iCs w:val="false"/>
          <w:sz w:val="21"/>
          <w:szCs w:val="21"/>
        </w:rPr>
        <w:t xml:space="preserve">load_chronos() scale guard: </w:t>
      </w:r>
      <w:r>
        <w:rPr>
          <w:b w:val="false"/>
          <w:bCs w:val="false"/>
          <w:i w:val="false"/>
          <w:iCs w:val="false"/>
          <w:sz w:val="21"/>
          <w:szCs w:val="21"/>
        </w:rPr>
        <w:t xml:space="preserve">checks that loaded dependency data has the expected scale (median essential ≈ −1, median non-essential ≈ 0) and calls </w:t>
      </w:r>
      <w:r>
        <w:rPr>
          <w:rFonts w:ascii="Consolas" w:cs="Consolas" w:eastAsia="Consolas" w:hAnsi="Consolas"/>
          <w:b w:val="false"/>
          <w:bCs w:val="false"/>
          <w:i w:val="false"/>
          <w:iCs w:val="false"/>
          <w:color w:val="B91C1C"/>
          <w:sz w:val="21"/>
          <w:szCs w:val="21"/>
        </w:rPr>
        <w:t xml:space="preserve">raise SystemExit</w:t>
      </w:r>
      <w:r>
        <w:rPr>
          <w:b w:val="false"/>
          <w:bCs w:val="false"/>
          <w:i w:val="false"/>
          <w:iCs w:val="false"/>
          <w:sz w:val="21"/>
          <w:szCs w:val="21"/>
        </w:rPr>
        <w:t xml:space="preserve"> — hard abort, not a warning — if the check fails, preventing a misnamed or wrong-scale file from silently passing as real Chronos data.</w:t>
      </w:r>
    </w:p>
    <w:p>
      <w:pPr>
        <w:pStyle w:val="ListParagraph"/>
        <w:numPr>
          <w:ilvl w:val="0"/>
          <w:numId w:val="2"/>
        </w:numPr>
        <w:spacing w:after="90" w:line="260"/>
      </w:pPr>
      <w:r>
        <w:rPr>
          <w:b w:val="false"/>
          <w:bCs w:val="false"/>
          <w:i w:val="false"/>
          <w:iCs w:val="false"/>
          <w:sz w:val="21"/>
          <w:szCs w:val="21"/>
        </w:rPr>
        <w:t xml:space="preserve">00_build_panel.py: </w:t>
      </w:r>
      <w:r>
        <w:rPr>
          <w:b w:val="false"/>
          <w:bCs w:val="false"/>
          <w:i w:val="false"/>
          <w:iCs w:val="false"/>
          <w:sz w:val="21"/>
          <w:szCs w:val="21"/>
        </w:rPr>
        <w:t xml:space="preserve">builds panel.parquet and genes.parquet once (expression, z-scores, essentiality, dependency, lineage per gene×line), read by every subsequent script.</w:t>
      </w:r>
    </w:p>
    <w:p>
      <w:pPr>
        <w:pStyle w:val="Heading2"/>
        <w:spacing w:after="140" w:before="320"/>
      </w:pPr>
      <w:r>
        <w:rPr>
          <w:b/>
          <w:bCs/>
          <w:color w:val="1F2937"/>
          <w:sz w:val="25"/>
          <w:szCs w:val="25"/>
        </w:rPr>
        <w:t xml:space="preserve">4.2 The ten audits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3600"/>
        <w:gridCol w:w="3300"/>
      </w:tblGrid>
      <w:tr>
        <w:trPr>
          <w:tblHeader/>
        </w:trPr>
        <w:tc>
          <w:tcPr>
            <w:tcW w:type="dxa" w:w="500"/>
            <w:shd w:fill="1F2937" w:val="clear"/>
            <w:tcMar>
              <w:top w:type="dxa" w:w="80"/>
              <w:left w:type="dxa" w:w="100"/>
              <w:bottom w:type="dxa" w:w="80"/>
              <w:right w:type="dxa" w:w="100"/>
            </w:tcMar>
            <w:vAlign w:val="center"/>
          </w:tcPr>
          <w:p>
            <w:pPr>
              <w:jc w:val="left"/>
            </w:pPr>
            <w:r>
              <w:rPr>
                <w:b/>
                <w:bCs/>
                <w:color w:val="FFFFFF"/>
                <w:sz w:val="19"/>
                <w:szCs w:val="19"/>
              </w:rPr>
              <w:t xml:space="preserve">#</w:t>
            </w:r>
          </w:p>
        </w:tc>
        <w:tc>
          <w:tcPr>
            <w:tcW w:type="dxa" w:w="2600"/>
            <w:shd w:fill="1F2937" w:val="clear"/>
            <w:tcMar>
              <w:top w:type="dxa" w:w="80"/>
              <w:left w:type="dxa" w:w="100"/>
              <w:bottom w:type="dxa" w:w="80"/>
              <w:right w:type="dxa" w:w="100"/>
            </w:tcMar>
            <w:vAlign w:val="center"/>
          </w:tcPr>
          <w:p>
            <w:pPr>
              <w:jc w:val="left"/>
            </w:pPr>
            <w:r>
              <w:rPr>
                <w:b/>
                <w:bCs/>
                <w:color w:val="FFFFFF"/>
                <w:sz w:val="19"/>
                <w:szCs w:val="19"/>
              </w:rPr>
              <w:t xml:space="preserve">Script</w:t>
            </w:r>
          </w:p>
        </w:tc>
        <w:tc>
          <w:tcPr>
            <w:tcW w:type="dxa" w:w="3600"/>
            <w:shd w:fill="1F2937" w:val="clear"/>
            <w:tcMar>
              <w:top w:type="dxa" w:w="80"/>
              <w:left w:type="dxa" w:w="100"/>
              <w:bottom w:type="dxa" w:w="80"/>
              <w:right w:type="dxa" w:w="100"/>
            </w:tcMar>
            <w:vAlign w:val="center"/>
          </w:tcPr>
          <w:p>
            <w:pPr>
              <w:jc w:val="left"/>
            </w:pPr>
            <w:r>
              <w:rPr>
                <w:b/>
                <w:bCs/>
                <w:color w:val="FFFFFF"/>
                <w:sz w:val="19"/>
                <w:szCs w:val="19"/>
              </w:rPr>
              <w:t xml:space="preserve">Question tested</w:t>
            </w:r>
          </w:p>
        </w:tc>
        <w:tc>
          <w:tcPr>
            <w:tcW w:type="dxa" w:w="3300"/>
            <w:shd w:fill="1F2937" w:val="clear"/>
            <w:tcMar>
              <w:top w:type="dxa" w:w="80"/>
              <w:left w:type="dxa" w:w="100"/>
              <w:bottom w:type="dxa" w:w="80"/>
              <w:right w:type="dxa" w:w="100"/>
            </w:tcMar>
            <w:vAlign w:val="center"/>
          </w:tcPr>
          <w:p>
            <w:pPr>
              <w:jc w:val="left"/>
            </w:pPr>
            <w:r>
              <w:rPr>
                <w:b/>
                <w:bCs/>
                <w:color w:val="FFFFFF"/>
                <w:sz w:val="19"/>
                <w:szCs w:val="19"/>
              </w:rPr>
              <w:t xml:space="preserve">Key result</w:t>
            </w:r>
          </w:p>
        </w:tc>
      </w:tr>
      <w:tr>
        <w:tc>
          <w:tcPr>
            <w:tcW w:type="dxa" w:w="500"/>
            <w:tcMar>
              <w:top w:type="dxa" w:w="80"/>
              <w:left w:type="dxa" w:w="100"/>
              <w:bottom w:type="dxa" w:w="80"/>
              <w:right w:type="dxa" w:w="100"/>
            </w:tcMar>
            <w:vAlign w:val="center"/>
          </w:tcPr>
          <w:p>
            <w:pPr>
              <w:jc w:val="left"/>
            </w:pPr>
            <w:r>
              <w:rPr>
                <w:b w:val="false"/>
                <w:bCs w:val="false"/>
                <w:color w:val="111827"/>
                <w:sz w:val="19"/>
                <w:szCs w:val="19"/>
              </w:rPr>
              <w:t xml:space="preserve">01</w:t>
            </w:r>
          </w:p>
        </w:tc>
        <w:tc>
          <w:tcPr>
            <w:tcW w:type="dxa" w:w="2600"/>
            <w:tcMar>
              <w:top w:type="dxa" w:w="80"/>
              <w:left w:type="dxa" w:w="100"/>
              <w:bottom w:type="dxa" w:w="80"/>
              <w:right w:type="dxa" w:w="100"/>
            </w:tcMar>
            <w:vAlign w:val="center"/>
          </w:tcPr>
          <w:p>
            <w:pPr>
              <w:jc w:val="left"/>
            </w:pPr>
            <w:r>
              <w:rPr>
                <w:b w:val="false"/>
                <w:bCs w:val="false"/>
                <w:color w:val="111827"/>
                <w:sz w:val="19"/>
                <w:szCs w:val="19"/>
              </w:rPr>
              <w:t xml:space="preserve">tie_mass.py</w:t>
            </w:r>
          </w:p>
        </w:tc>
        <w:tc>
          <w:tcPr>
            <w:tcW w:type="dxa" w:w="3600"/>
            <w:tcMar>
              <w:top w:type="dxa" w:w="80"/>
              <w:left w:type="dxa" w:w="100"/>
              <w:bottom w:type="dxa" w:w="80"/>
              <w:right w:type="dxa" w:w="100"/>
            </w:tcMar>
            <w:vAlign w:val="center"/>
          </w:tcPr>
          <w:p>
            <w:pPr>
              <w:jc w:val="left"/>
            </w:pPr>
            <w:r>
              <w:rPr>
                <w:b w:val="false"/>
                <w:bCs w:val="false"/>
                <w:color w:val="111827"/>
                <w:sz w:val="19"/>
                <w:szCs w:val="19"/>
              </w:rPr>
              <w:t xml:space="preserve">Does percentile tie-handling drive the effect?</w:t>
            </w:r>
          </w:p>
        </w:tc>
        <w:tc>
          <w:tcPr>
            <w:tcW w:type="dxa" w:w="3300"/>
            <w:tcMar>
              <w:top w:type="dxa" w:w="80"/>
              <w:left w:type="dxa" w:w="100"/>
              <w:bottom w:type="dxa" w:w="80"/>
              <w:right w:type="dxa" w:w="100"/>
            </w:tcMar>
            <w:vAlign w:val="center"/>
          </w:tcPr>
          <w:p>
            <w:pPr>
              <w:jc w:val="left"/>
            </w:pPr>
            <w:r>
              <w:rPr>
                <w:b w:val="false"/>
                <w:bCs w:val="false"/>
                <w:color w:val="111827"/>
                <w:sz w:val="19"/>
                <w:szCs w:val="19"/>
              </w:rPr>
              <w:t xml:space="preserve">No — decile-1 ratio spread across 3 tie rules = 0.0021</w:t>
            </w:r>
          </w:p>
        </w:tc>
      </w:tr>
      <w:tr>
        <w:tc>
          <w:tcPr>
            <w:tcW w:type="dxa" w:w="500"/>
            <w:shd w:fill="F3F4F6" w:val="clear"/>
            <w:tcMar>
              <w:top w:type="dxa" w:w="80"/>
              <w:left w:type="dxa" w:w="100"/>
              <w:bottom w:type="dxa" w:w="80"/>
              <w:right w:type="dxa" w:w="100"/>
            </w:tcMar>
            <w:vAlign w:val="center"/>
          </w:tcPr>
          <w:p>
            <w:pPr>
              <w:jc w:val="left"/>
            </w:pPr>
            <w:r>
              <w:rPr>
                <w:b w:val="false"/>
                <w:bCs w:val="false"/>
                <w:color w:val="111827"/>
                <w:sz w:val="19"/>
                <w:szCs w:val="19"/>
              </w:rPr>
              <w:t xml:space="preserve">02</w:t>
            </w:r>
          </w:p>
        </w:tc>
        <w:tc>
          <w:tcPr>
            <w:tcW w:type="dxa" w:w="2600"/>
            <w:shd w:fill="F3F4F6" w:val="clear"/>
            <w:tcMar>
              <w:top w:type="dxa" w:w="80"/>
              <w:left w:type="dxa" w:w="100"/>
              <w:bottom w:type="dxa" w:w="80"/>
              <w:right w:type="dxa" w:w="100"/>
            </w:tcMar>
            <w:vAlign w:val="center"/>
          </w:tcPr>
          <w:p>
            <w:pPr>
              <w:jc w:val="left"/>
            </w:pPr>
            <w:r>
              <w:rPr>
                <w:b w:val="false"/>
                <w:bCs w:val="false"/>
                <w:color w:val="111827"/>
                <w:sz w:val="19"/>
                <w:szCs w:val="19"/>
              </w:rPr>
              <w:t xml:space="preserve">gate_valid_genes.py</w:t>
            </w:r>
          </w:p>
        </w:tc>
        <w:tc>
          <w:tcPr>
            <w:tcW w:type="dxa" w:w="3600"/>
            <w:shd w:fill="F3F4F6" w:val="clear"/>
            <w:tcMar>
              <w:top w:type="dxa" w:w="80"/>
              <w:left w:type="dxa" w:w="100"/>
              <w:bottom w:type="dxa" w:w="80"/>
              <w:right w:type="dxa" w:w="100"/>
            </w:tcMar>
            <w:vAlign w:val="center"/>
          </w:tcPr>
          <w:p>
            <w:pPr>
              <w:jc w:val="left"/>
            </w:pPr>
            <w:r>
              <w:rPr>
                <w:b w:val="false"/>
                <w:bCs w:val="false"/>
                <w:color w:val="111827"/>
                <w:sz w:val="19"/>
                <w:szCs w:val="19"/>
              </w:rPr>
              <w:t xml:space="preserve">Does gene validity/tie structure drive it?</w:t>
            </w:r>
          </w:p>
        </w:tc>
        <w:tc>
          <w:tcPr>
            <w:tcW w:type="dxa" w:w="3300"/>
            <w:shd w:fill="F3F4F6" w:val="clear"/>
            <w:tcMar>
              <w:top w:type="dxa" w:w="80"/>
              <w:left w:type="dxa" w:w="100"/>
              <w:bottom w:type="dxa" w:w="80"/>
              <w:right w:type="dxa" w:w="100"/>
            </w:tcMar>
            <w:vAlign w:val="center"/>
          </w:tcPr>
          <w:p>
            <w:pPr>
              <w:jc w:val="left"/>
            </w:pPr>
            <w:r>
              <w:rPr>
                <w:b w:val="false"/>
                <w:bCs w:val="false"/>
                <w:color w:val="111827"/>
                <w:sz w:val="19"/>
                <w:szCs w:val="19"/>
              </w:rPr>
              <w:t xml:space="preserve">No — valid-only vs all genes shifts decile-1 ratio by +0.0036</w:t>
            </w:r>
          </w:p>
        </w:tc>
      </w:tr>
      <w:tr>
        <w:tc>
          <w:tcPr>
            <w:tcW w:type="dxa" w:w="500"/>
            <w:tcMar>
              <w:top w:type="dxa" w:w="80"/>
              <w:left w:type="dxa" w:w="100"/>
              <w:bottom w:type="dxa" w:w="80"/>
              <w:right w:type="dxa" w:w="100"/>
            </w:tcMar>
            <w:vAlign w:val="center"/>
          </w:tcPr>
          <w:p>
            <w:pPr>
              <w:jc w:val="left"/>
            </w:pPr>
            <w:r>
              <w:rPr>
                <w:b w:val="false"/>
                <w:bCs w:val="false"/>
                <w:color w:val="111827"/>
                <w:sz w:val="19"/>
                <w:szCs w:val="19"/>
              </w:rPr>
              <w:t xml:space="preserve">03</w:t>
            </w:r>
          </w:p>
        </w:tc>
        <w:tc>
          <w:tcPr>
            <w:tcW w:type="dxa" w:w="2600"/>
            <w:tcMar>
              <w:top w:type="dxa" w:w="80"/>
              <w:left w:type="dxa" w:w="100"/>
              <w:bottom w:type="dxa" w:w="80"/>
              <w:right w:type="dxa" w:w="100"/>
            </w:tcMar>
            <w:vAlign w:val="center"/>
          </w:tcPr>
          <w:p>
            <w:pPr>
              <w:jc w:val="left"/>
            </w:pPr>
            <w:r>
              <w:rPr>
                <w:b w:val="false"/>
                <w:bCs w:val="false"/>
                <w:color w:val="111827"/>
                <w:sz w:val="19"/>
                <w:szCs w:val="19"/>
              </w:rPr>
              <w:t xml:space="preserve">denominator.py</w:t>
            </w:r>
          </w:p>
        </w:tc>
        <w:tc>
          <w:tcPr>
            <w:tcW w:type="dxa" w:w="3600"/>
            <w:tcMar>
              <w:top w:type="dxa" w:w="80"/>
              <w:left w:type="dxa" w:w="100"/>
              <w:bottom w:type="dxa" w:w="80"/>
              <w:right w:type="dxa" w:w="100"/>
            </w:tcMar>
            <w:vAlign w:val="center"/>
          </w:tcPr>
          <w:p>
            <w:pPr>
              <w:jc w:val="left"/>
            </w:pPr>
            <w:r>
              <w:rPr>
                <w:b w:val="false"/>
                <w:bCs w:val="false"/>
                <w:color w:val="111827"/>
                <w:sz w:val="19"/>
                <w:szCs w:val="19"/>
              </w:rPr>
              <w:t xml:space="preserve">Is the negative-label denominator sound?</w:t>
            </w:r>
          </w:p>
        </w:tc>
        <w:tc>
          <w:tcPr>
            <w:tcW w:type="dxa" w:w="3300"/>
            <w:tcMar>
              <w:top w:type="dxa" w:w="80"/>
              <w:left w:type="dxa" w:w="100"/>
              <w:bottom w:type="dxa" w:w="80"/>
              <w:right w:type="dxa" w:w="100"/>
            </w:tcMar>
            <w:vAlign w:val="center"/>
          </w:tcPr>
          <w:p>
            <w:pPr>
              <w:jc w:val="left"/>
            </w:pPr>
            <w:r>
              <w:rPr>
                <w:b w:val="false"/>
                <w:bCs w:val="false"/>
                <w:color w:val="111827"/>
                <w:sz w:val="19"/>
                <w:szCs w:val="19"/>
              </w:rPr>
              <w:t xml:space="preserve">Central finding — see §4.3</w:t>
            </w:r>
          </w:p>
        </w:tc>
      </w:tr>
      <w:tr>
        <w:tc>
          <w:tcPr>
            <w:tcW w:type="dxa" w:w="500"/>
            <w:shd w:fill="F3F4F6" w:val="clear"/>
            <w:tcMar>
              <w:top w:type="dxa" w:w="80"/>
              <w:left w:type="dxa" w:w="100"/>
              <w:bottom w:type="dxa" w:w="80"/>
              <w:right w:type="dxa" w:w="100"/>
            </w:tcMar>
            <w:vAlign w:val="center"/>
          </w:tcPr>
          <w:p>
            <w:pPr>
              <w:jc w:val="left"/>
            </w:pPr>
            <w:r>
              <w:rPr>
                <w:b w:val="false"/>
                <w:bCs w:val="false"/>
                <w:color w:val="111827"/>
                <w:sz w:val="19"/>
                <w:szCs w:val="19"/>
              </w:rPr>
              <w:t xml:space="preserve">04</w:t>
            </w:r>
          </w:p>
        </w:tc>
        <w:tc>
          <w:tcPr>
            <w:tcW w:type="dxa" w:w="2600"/>
            <w:shd w:fill="F3F4F6" w:val="clear"/>
            <w:tcMar>
              <w:top w:type="dxa" w:w="80"/>
              <w:left w:type="dxa" w:w="100"/>
              <w:bottom w:type="dxa" w:w="80"/>
              <w:right w:type="dxa" w:w="100"/>
            </w:tcMar>
            <w:vAlign w:val="center"/>
          </w:tcPr>
          <w:p>
            <w:pPr>
              <w:jc w:val="left"/>
            </w:pPr>
            <w:r>
              <w:rPr>
                <w:b w:val="false"/>
                <w:bCs w:val="false"/>
                <w:color w:val="111827"/>
                <w:sz w:val="19"/>
                <w:szCs w:val="19"/>
              </w:rPr>
              <w:t xml:space="preserve">cluster_bootstrap.py</w:t>
            </w:r>
          </w:p>
        </w:tc>
        <w:tc>
          <w:tcPr>
            <w:tcW w:type="dxa" w:w="3600"/>
            <w:shd w:fill="F3F4F6" w:val="clear"/>
            <w:tcMar>
              <w:top w:type="dxa" w:w="80"/>
              <w:left w:type="dxa" w:w="100"/>
              <w:bottom w:type="dxa" w:w="80"/>
              <w:right w:type="dxa" w:w="100"/>
            </w:tcMar>
            <w:vAlign w:val="center"/>
          </w:tcPr>
          <w:p>
            <w:pPr>
              <w:jc w:val="left"/>
            </w:pPr>
            <w:r>
              <w:rPr>
                <w:b w:val="false"/>
                <w:bCs w:val="false"/>
                <w:color w:val="111827"/>
                <w:sz w:val="19"/>
                <w:szCs w:val="19"/>
              </w:rPr>
              <w:t xml:space="preserve">Is the nominal p-value trustworthy?</w:t>
            </w:r>
          </w:p>
        </w:tc>
        <w:tc>
          <w:tcPr>
            <w:tcW w:type="dxa" w:w="3300"/>
            <w:shd w:fill="F3F4F6" w:val="clear"/>
            <w:tcMar>
              <w:top w:type="dxa" w:w="80"/>
              <w:left w:type="dxa" w:w="100"/>
              <w:bottom w:type="dxa" w:w="80"/>
              <w:right w:type="dxa" w:w="100"/>
            </w:tcMar>
            <w:vAlign w:val="center"/>
          </w:tcPr>
          <w:p>
            <w:pPr>
              <w:jc w:val="left"/>
            </w:pPr>
            <w:r>
              <w:rPr>
                <w:b w:val="false"/>
                <w:bCs w:val="false"/>
                <w:color w:val="111827"/>
                <w:sz w:val="19"/>
                <w:szCs w:val="19"/>
              </w:rPr>
              <w:t xml:space="preserve">p: 1.4e–10 → 0.002 under 2-way cluster bootstrap; SE inflates 2.39×</w:t>
            </w:r>
          </w:p>
        </w:tc>
      </w:tr>
      <w:tr>
        <w:tc>
          <w:tcPr>
            <w:tcW w:type="dxa" w:w="500"/>
            <w:tcMar>
              <w:top w:type="dxa" w:w="80"/>
              <w:left w:type="dxa" w:w="100"/>
              <w:bottom w:type="dxa" w:w="80"/>
              <w:right w:type="dxa" w:w="100"/>
            </w:tcMar>
            <w:vAlign w:val="center"/>
          </w:tcPr>
          <w:p>
            <w:pPr>
              <w:jc w:val="left"/>
            </w:pPr>
            <w:r>
              <w:rPr>
                <w:b w:val="false"/>
                <w:bCs w:val="false"/>
                <w:color w:val="111827"/>
                <w:sz w:val="19"/>
                <w:szCs w:val="19"/>
              </w:rPr>
              <w:t xml:space="preserve">05</w:t>
            </w:r>
          </w:p>
        </w:tc>
        <w:tc>
          <w:tcPr>
            <w:tcW w:type="dxa" w:w="2600"/>
            <w:tcMar>
              <w:top w:type="dxa" w:w="80"/>
              <w:left w:type="dxa" w:w="100"/>
              <w:bottom w:type="dxa" w:w="80"/>
              <w:right w:type="dxa" w:w="100"/>
            </w:tcMar>
            <w:vAlign w:val="center"/>
          </w:tcPr>
          <w:p>
            <w:pPr>
              <w:jc w:val="left"/>
            </w:pPr>
            <w:r>
              <w:rPr>
                <w:b w:val="false"/>
                <w:bCs w:val="false"/>
                <w:color w:val="111827"/>
                <w:sz w:val="19"/>
                <w:szCs w:val="19"/>
              </w:rPr>
              <w:t xml:space="preserve">region_sweep.py</w:t>
            </w:r>
          </w:p>
        </w:tc>
        <w:tc>
          <w:tcPr>
            <w:tcW w:type="dxa" w:w="3600"/>
            <w:tcMar>
              <w:top w:type="dxa" w:w="80"/>
              <w:left w:type="dxa" w:w="100"/>
              <w:bottom w:type="dxa" w:w="80"/>
              <w:right w:type="dxa" w:w="100"/>
            </w:tcMar>
            <w:vAlign w:val="center"/>
          </w:tcPr>
          <w:p>
            <w:pPr>
              <w:jc w:val="left"/>
            </w:pPr>
            <w:r>
              <w:rPr>
                <w:b w:val="false"/>
                <w:bCs w:val="false"/>
                <w:color w:val="111827"/>
                <w:sz w:val="19"/>
                <w:szCs w:val="19"/>
              </w:rPr>
              <w:t xml:space="preserve">Was the published FPR region cherry-picked?</w:t>
            </w:r>
          </w:p>
        </w:tc>
        <w:tc>
          <w:tcPr>
            <w:tcW w:type="dxa" w:w="3300"/>
            <w:tcMar>
              <w:top w:type="dxa" w:w="80"/>
              <w:left w:type="dxa" w:w="100"/>
              <w:bottom w:type="dxa" w:w="80"/>
              <w:right w:type="dxa" w:w="100"/>
            </w:tcMar>
            <w:vAlign w:val="center"/>
          </w:tcPr>
          <w:p>
            <w:pPr>
              <w:jc w:val="left"/>
            </w:pPr>
            <w:r>
              <w:rPr>
                <w:b w:val="false"/>
                <w:bCs w:val="false"/>
                <w:color w:val="111827"/>
                <w:sz w:val="19"/>
                <w:szCs w:val="19"/>
              </w:rPr>
              <w:t xml:space="preserve">No — pAUC range across the sweep only 0.0177</w:t>
            </w:r>
          </w:p>
        </w:tc>
      </w:tr>
      <w:tr>
        <w:tc>
          <w:tcPr>
            <w:tcW w:type="dxa" w:w="500"/>
            <w:shd w:fill="F3F4F6" w:val="clear"/>
            <w:tcMar>
              <w:top w:type="dxa" w:w="80"/>
              <w:left w:type="dxa" w:w="100"/>
              <w:bottom w:type="dxa" w:w="80"/>
              <w:right w:type="dxa" w:w="100"/>
            </w:tcMar>
            <w:vAlign w:val="center"/>
          </w:tcPr>
          <w:p>
            <w:pPr>
              <w:jc w:val="left"/>
            </w:pPr>
            <w:r>
              <w:rPr>
                <w:b w:val="false"/>
                <w:bCs w:val="false"/>
                <w:color w:val="111827"/>
                <w:sz w:val="19"/>
                <w:szCs w:val="19"/>
              </w:rPr>
              <w:t xml:space="preserve">06</w:t>
            </w:r>
          </w:p>
        </w:tc>
        <w:tc>
          <w:tcPr>
            <w:tcW w:type="dxa" w:w="2600"/>
            <w:shd w:fill="F3F4F6" w:val="clear"/>
            <w:tcMar>
              <w:top w:type="dxa" w:w="80"/>
              <w:left w:type="dxa" w:w="100"/>
              <w:bottom w:type="dxa" w:w="80"/>
              <w:right w:type="dxa" w:w="100"/>
            </w:tcMar>
            <w:vAlign w:val="center"/>
          </w:tcPr>
          <w:p>
            <w:pPr>
              <w:jc w:val="left"/>
            </w:pPr>
            <w:r>
              <w:rPr>
                <w:b w:val="false"/>
                <w:bCs w:val="false"/>
                <w:color w:val="111827"/>
                <w:sz w:val="19"/>
                <w:szCs w:val="19"/>
              </w:rPr>
              <w:t xml:space="preserve">screen_replication.py</w:t>
            </w:r>
          </w:p>
        </w:tc>
        <w:tc>
          <w:tcPr>
            <w:tcW w:type="dxa" w:w="3600"/>
            <w:shd w:fill="F3F4F6" w:val="clear"/>
            <w:tcMar>
              <w:top w:type="dxa" w:w="80"/>
              <w:left w:type="dxa" w:w="100"/>
              <w:bottom w:type="dxa" w:w="80"/>
              <w:right w:type="dxa" w:w="100"/>
            </w:tcMar>
            <w:vAlign w:val="center"/>
          </w:tcPr>
          <w:p>
            <w:pPr>
              <w:jc w:val="left"/>
            </w:pPr>
            <w:r>
              <w:rPr>
                <w:b w:val="false"/>
                <w:bCs w:val="false"/>
                <w:color w:val="111827"/>
                <w:sz w:val="19"/>
                <w:szCs w:val="19"/>
              </w:rPr>
              <w:t xml:space="preserve">Does the effect replicate Broad vs Sanger?</w:t>
            </w:r>
          </w:p>
        </w:tc>
        <w:tc>
          <w:tcPr>
            <w:tcW w:type="dxa" w:w="3300"/>
            <w:shd w:fill="F3F4F6" w:val="clear"/>
            <w:tcMar>
              <w:top w:type="dxa" w:w="80"/>
              <w:left w:type="dxa" w:w="100"/>
              <w:bottom w:type="dxa" w:w="80"/>
              <w:right w:type="dxa" w:w="100"/>
            </w:tcMar>
            <w:vAlign w:val="center"/>
          </w:tcPr>
          <w:p>
            <w:pPr>
              <w:jc w:val="left"/>
            </w:pPr>
            <w:r>
              <w:rPr>
                <w:b w:val="false"/>
                <w:bCs w:val="false"/>
                <w:color w:val="111827"/>
                <w:sz w:val="19"/>
                <w:szCs w:val="19"/>
              </w:rPr>
              <w:t xml:space="preserve">Yes, narrowly — 11% depletion, pAUC ≈ 0.58, both screens, 5–10% prevalence band</w:t>
            </w:r>
          </w:p>
        </w:tc>
      </w:tr>
      <w:tr>
        <w:tc>
          <w:tcPr>
            <w:tcW w:type="dxa" w:w="500"/>
            <w:tcMar>
              <w:top w:type="dxa" w:w="80"/>
              <w:left w:type="dxa" w:w="100"/>
              <w:bottom w:type="dxa" w:w="80"/>
              <w:right w:type="dxa" w:w="100"/>
            </w:tcMar>
            <w:vAlign w:val="center"/>
          </w:tcPr>
          <w:p>
            <w:pPr>
              <w:jc w:val="left"/>
            </w:pPr>
            <w:r>
              <w:rPr>
                <w:b w:val="false"/>
                <w:bCs w:val="false"/>
                <w:color w:val="111827"/>
                <w:sz w:val="19"/>
                <w:szCs w:val="19"/>
              </w:rPr>
              <w:t xml:space="preserve">07</w:t>
            </w:r>
          </w:p>
        </w:tc>
        <w:tc>
          <w:tcPr>
            <w:tcW w:type="dxa" w:w="2600"/>
            <w:tcMar>
              <w:top w:type="dxa" w:w="80"/>
              <w:left w:type="dxa" w:w="100"/>
              <w:bottom w:type="dxa" w:w="80"/>
              <w:right w:type="dxa" w:w="100"/>
            </w:tcMar>
            <w:vAlign w:val="center"/>
          </w:tcPr>
          <w:p>
            <w:pPr>
              <w:jc w:val="left"/>
            </w:pPr>
            <w:r>
              <w:rPr>
                <w:b w:val="false"/>
                <w:bCs w:val="false"/>
                <w:color w:val="111827"/>
                <w:sz w:val="19"/>
                <w:szCs w:val="19"/>
              </w:rPr>
              <w:t xml:space="preserve">independent_labels.py</w:t>
            </w:r>
          </w:p>
        </w:tc>
        <w:tc>
          <w:tcPr>
            <w:tcW w:type="dxa" w:w="3600"/>
            <w:tcMar>
              <w:top w:type="dxa" w:w="80"/>
              <w:left w:type="dxa" w:w="100"/>
              <w:bottom w:type="dxa" w:w="80"/>
              <w:right w:type="dxa" w:w="100"/>
            </w:tcMar>
            <w:vAlign w:val="center"/>
          </w:tcPr>
          <w:p>
            <w:pPr>
              <w:jc w:val="left"/>
            </w:pPr>
            <w:r>
              <w:rPr>
                <w:b w:val="false"/>
                <w:bCs w:val="false"/>
                <w:color w:val="111827"/>
                <w:sz w:val="19"/>
                <w:szCs w:val="19"/>
              </w:rPr>
              <w:t xml:space="preserve">Does a non-CRISPR label (GDSC2 drug) show it?</w:t>
            </w:r>
          </w:p>
        </w:tc>
        <w:tc>
          <w:tcPr>
            <w:tcW w:type="dxa" w:w="3300"/>
            <w:tcMar>
              <w:top w:type="dxa" w:w="80"/>
              <w:left w:type="dxa" w:w="100"/>
              <w:bottom w:type="dxa" w:w="80"/>
              <w:right w:type="dxa" w:w="100"/>
            </w:tcMar>
            <w:vAlign w:val="center"/>
          </w:tcPr>
          <w:p>
            <w:pPr>
              <w:jc w:val="left"/>
            </w:pPr>
            <w:r>
              <w:rPr>
                <w:b w:val="false"/>
                <w:bCs w:val="false"/>
                <w:color w:val="111827"/>
                <w:sz w:val="19"/>
                <w:szCs w:val="19"/>
              </w:rPr>
              <w:t xml:space="preserve">Flat/null overall; strong on 140 shared druggable-target genes (decile-1 0.585, pAUC 0.713)</w:t>
            </w:r>
          </w:p>
        </w:tc>
      </w:tr>
      <w:tr>
        <w:tc>
          <w:tcPr>
            <w:tcW w:type="dxa" w:w="500"/>
            <w:shd w:fill="F3F4F6" w:val="clear"/>
            <w:tcMar>
              <w:top w:type="dxa" w:w="80"/>
              <w:left w:type="dxa" w:w="100"/>
              <w:bottom w:type="dxa" w:w="80"/>
              <w:right w:type="dxa" w:w="100"/>
            </w:tcMar>
            <w:vAlign w:val="center"/>
          </w:tcPr>
          <w:p>
            <w:pPr>
              <w:jc w:val="left"/>
            </w:pPr>
            <w:r>
              <w:rPr>
                <w:b w:val="false"/>
                <w:bCs w:val="false"/>
                <w:color w:val="111827"/>
                <w:sz w:val="19"/>
                <w:szCs w:val="19"/>
              </w:rPr>
              <w:t xml:space="preserve">08</w:t>
            </w:r>
          </w:p>
        </w:tc>
        <w:tc>
          <w:tcPr>
            <w:tcW w:type="dxa" w:w="2600"/>
            <w:shd w:fill="F3F4F6" w:val="clear"/>
            <w:tcMar>
              <w:top w:type="dxa" w:w="80"/>
              <w:left w:type="dxa" w:w="100"/>
              <w:bottom w:type="dxa" w:w="80"/>
              <w:right w:type="dxa" w:w="100"/>
            </w:tcMar>
            <w:vAlign w:val="center"/>
          </w:tcPr>
          <w:p>
            <w:pPr>
              <w:jc w:val="left"/>
            </w:pPr>
            <w:r>
              <w:rPr>
                <w:b w:val="false"/>
                <w:bCs w:val="false"/>
                <w:color w:val="111827"/>
                <w:sz w:val="19"/>
                <w:szCs w:val="19"/>
              </w:rPr>
              <w:t xml:space="preserve">release_refresh.py</w:t>
            </w:r>
          </w:p>
        </w:tc>
        <w:tc>
          <w:tcPr>
            <w:tcW w:type="dxa" w:w="3600"/>
            <w:shd w:fill="F3F4F6" w:val="clear"/>
            <w:tcMar>
              <w:top w:type="dxa" w:w="80"/>
              <w:left w:type="dxa" w:w="100"/>
              <w:bottom w:type="dxa" w:w="80"/>
              <w:right w:type="dxa" w:w="100"/>
            </w:tcMar>
            <w:vAlign w:val="center"/>
          </w:tcPr>
          <w:p>
            <w:pPr>
              <w:jc w:val="left"/>
            </w:pPr>
            <w:r>
              <w:rPr>
                <w:b w:val="false"/>
                <w:bCs w:val="false"/>
                <w:color w:val="111827"/>
                <w:sz w:val="19"/>
                <w:szCs w:val="19"/>
              </w:rPr>
              <w:t xml:space="preserve">Does it hold at higher power (24Q4, 1,103 lines)?</w:t>
            </w:r>
          </w:p>
        </w:tc>
        <w:tc>
          <w:tcPr>
            <w:tcW w:type="dxa" w:w="3300"/>
            <w:shd w:fill="F3F4F6" w:val="clear"/>
            <w:tcMar>
              <w:top w:type="dxa" w:w="80"/>
              <w:left w:type="dxa" w:w="100"/>
              <w:bottom w:type="dxa" w:w="80"/>
              <w:right w:type="dxa" w:w="100"/>
            </w:tcMar>
            <w:vAlign w:val="center"/>
          </w:tcPr>
          <w:p>
            <w:pPr>
              <w:jc w:val="left"/>
            </w:pPr>
            <w:r>
              <w:rPr>
                <w:b w:val="false"/>
                <w:bCs w:val="false"/>
                <w:color w:val="111827"/>
                <w:sz w:val="19"/>
                <w:szCs w:val="19"/>
              </w:rPr>
              <w:t xml:space="preserve">Denominator artifact reproduces; surviving effect moves to &lt;5% prevalence (20–29% depletion, p&lt;0.002)</w:t>
            </w:r>
          </w:p>
        </w:tc>
      </w:tr>
      <w:tr>
        <w:tc>
          <w:tcPr>
            <w:tcW w:type="dxa" w:w="500"/>
            <w:tcMar>
              <w:top w:type="dxa" w:w="80"/>
              <w:left w:type="dxa" w:w="100"/>
              <w:bottom w:type="dxa" w:w="80"/>
              <w:right w:type="dxa" w:w="100"/>
            </w:tcMar>
            <w:vAlign w:val="center"/>
          </w:tcPr>
          <w:p>
            <w:pPr>
              <w:jc w:val="left"/>
            </w:pPr>
            <w:r>
              <w:rPr>
                <w:b w:val="false"/>
                <w:bCs w:val="false"/>
                <w:color w:val="111827"/>
                <w:sz w:val="19"/>
                <w:szCs w:val="19"/>
              </w:rPr>
              <w:t xml:space="preserve">09</w:t>
            </w:r>
          </w:p>
        </w:tc>
        <w:tc>
          <w:tcPr>
            <w:tcW w:type="dxa" w:w="2600"/>
            <w:tcMar>
              <w:top w:type="dxa" w:w="80"/>
              <w:left w:type="dxa" w:w="100"/>
              <w:bottom w:type="dxa" w:w="80"/>
              <w:right w:type="dxa" w:w="100"/>
            </w:tcMar>
            <w:vAlign w:val="center"/>
          </w:tcPr>
          <w:p>
            <w:pPr>
              <w:jc w:val="left"/>
            </w:pPr>
            <w:r>
              <w:rPr>
                <w:b w:val="false"/>
                <w:bCs w:val="false"/>
                <w:color w:val="111827"/>
                <w:sz w:val="19"/>
                <w:szCs w:val="19"/>
              </w:rPr>
              <w:t xml:space="preserve">perturbation_types.py</w:t>
            </w:r>
          </w:p>
        </w:tc>
        <w:tc>
          <w:tcPr>
            <w:tcW w:type="dxa" w:w="3600"/>
            <w:tcMar>
              <w:top w:type="dxa" w:w="80"/>
              <w:left w:type="dxa" w:w="100"/>
              <w:bottom w:type="dxa" w:w="80"/>
              <w:right w:type="dxa" w:w="100"/>
            </w:tcMar>
            <w:vAlign w:val="center"/>
          </w:tcPr>
          <w:p>
            <w:pPr>
              <w:jc w:val="left"/>
            </w:pPr>
            <w:r>
              <w:rPr>
                <w:b w:val="false"/>
                <w:bCs w:val="false"/>
                <w:color w:val="111827"/>
                <w:sz w:val="19"/>
                <w:szCs w:val="19"/>
              </w:rPr>
              <w:t xml:space="preserve">CRISPR vs RNAi vs drug at matched prevalence?</w:t>
            </w:r>
          </w:p>
        </w:tc>
        <w:tc>
          <w:tcPr>
            <w:tcW w:type="dxa" w:w="3300"/>
            <w:tcMar>
              <w:top w:type="dxa" w:w="80"/>
              <w:left w:type="dxa" w:w="100"/>
              <w:bottom w:type="dxa" w:w="80"/>
              <w:right w:type="dxa" w:w="100"/>
            </w:tcMar>
            <w:vAlign w:val="center"/>
          </w:tcPr>
          <w:p>
            <w:pPr>
              <w:jc w:val="left"/>
            </w:pPr>
            <w:r>
              <w:rPr>
                <w:b w:val="false"/>
                <w:bCs w:val="false"/>
                <w:color w:val="111827"/>
                <w:sz w:val="19"/>
                <w:szCs w:val="19"/>
              </w:rPr>
              <w:t xml:space="preserve">RNAi runs opposite direction (pAUC 0.477, p=4.8e–29) — effect is CRISPR-specific</w:t>
            </w:r>
          </w:p>
        </w:tc>
      </w:tr>
    </w:tbl>
    <w:p>
      <w:pPr>
        <w:spacing w:after="160"/>
      </w:pPr>
    </w:p>
    <w:p>
      <w:pPr>
        <w:pStyle w:val="Heading2"/>
        <w:spacing w:after="140" w:before="320"/>
      </w:pPr>
      <w:r>
        <w:rPr>
          <w:b/>
          <w:bCs/>
          <w:color w:val="1F2937"/>
          <w:sz w:val="25"/>
          <w:szCs w:val="25"/>
        </w:rPr>
        <w:t xml:space="preserve">4.3 Central finding: the denominator artifact (audit 03)</w:t>
      </w:r>
    </w:p>
    <w:p>
      <w:pPr>
        <w:spacing w:after="160" w:line="276"/>
      </w:pPr>
      <w:r>
        <w:rPr>
          <w:sz w:val="21"/>
          <w:szCs w:val="21"/>
        </w:rPr>
        <w:t xml:space="preserve">49% of the labeling denominator (725 of 1,479 expression lines) was never CRISPR-screened, yet is scored as a confirmed dependency negative. A placebo test — labels randomised, construction otherwise kept identical — reproduces 98% of the originally published 16.8% decile-1 depletion. Restricting to screened lines only, depletion drops to ≈ 1.3%. This means most of the originally reported effect was a labeling-construction artifact rather than biology.</w:t>
      </w:r>
    </w:p>
    <w:p>
      <w:pPr>
        <w:pStyle w:val="Heading2"/>
        <w:spacing w:after="140" w:before="320"/>
      </w:pPr>
      <w:r>
        <w:rPr>
          <w:b/>
          <w:bCs/>
          <w:color w:val="1F2937"/>
          <w:sz w:val="25"/>
          <w:szCs w:val="25"/>
        </w:rPr>
        <w:t xml:space="preserve">4.4 Panel scale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400"/>
        <w:gridCol w:w="6600"/>
      </w:tblGrid>
      <w:tr>
        <w:trPr>
          <w:tblHeader/>
        </w:trPr>
        <w:tc>
          <w:tcPr>
            <w:tcW w:type="dxa" w:w="3400"/>
            <w:shd w:fill="1F2937" w:val="clear"/>
            <w:tcMar>
              <w:top w:type="dxa" w:w="80"/>
              <w:left w:type="dxa" w:w="100"/>
              <w:bottom w:type="dxa" w:w="80"/>
              <w:right w:type="dxa" w:w="100"/>
            </w:tcMar>
            <w:vAlign w:val="center"/>
          </w:tcPr>
          <w:p>
            <w:pPr>
              <w:jc w:val="left"/>
            </w:pPr>
            <w:r>
              <w:rPr>
                <w:b/>
                <w:bCs/>
                <w:color w:val="FFFFFF"/>
                <w:sz w:val="19"/>
                <w:szCs w:val="19"/>
              </w:rPr>
              <w:t xml:space="preserve">Metric</w:t>
            </w:r>
          </w:p>
        </w:tc>
        <w:tc>
          <w:tcPr>
            <w:tcW w:type="dxa" w:w="6600"/>
            <w:shd w:fill="1F2937" w:val="clear"/>
            <w:tcMar>
              <w:top w:type="dxa" w:w="80"/>
              <w:left w:type="dxa" w:w="100"/>
              <w:bottom w:type="dxa" w:w="80"/>
              <w:right w:type="dxa" w:w="100"/>
            </w:tcMar>
            <w:vAlign w:val="center"/>
          </w:tcPr>
          <w:p>
            <w:pPr>
              <w:jc w:val="left"/>
            </w:pPr>
            <w:r>
              <w:rPr>
                <w:b/>
                <w:bCs/>
                <w:color w:val="FFFFFF"/>
                <w:sz w:val="19"/>
                <w:szCs w:val="19"/>
              </w:rPr>
              <w:t xml:space="preserve">Value</w:t>
            </w:r>
          </w:p>
        </w:tc>
      </w:tr>
      <w:tr>
        <w:tc>
          <w:tcPr>
            <w:tcW w:type="dxa" w:w="3400"/>
            <w:tcMar>
              <w:top w:type="dxa" w:w="80"/>
              <w:left w:type="dxa" w:w="100"/>
              <w:bottom w:type="dxa" w:w="80"/>
              <w:right w:type="dxa" w:w="100"/>
            </w:tcMar>
            <w:vAlign w:val="center"/>
          </w:tcPr>
          <w:p>
            <w:pPr>
              <w:jc w:val="left"/>
            </w:pPr>
            <w:r>
              <w:rPr>
                <w:b w:val="false"/>
                <w:bCs w:val="false"/>
                <w:color w:val="111827"/>
                <w:sz w:val="19"/>
                <w:szCs w:val="19"/>
              </w:rPr>
              <w:t xml:space="preserve">Panel size</w:t>
            </w:r>
          </w:p>
        </w:tc>
        <w:tc>
          <w:tcPr>
            <w:tcW w:type="dxa" w:w="6600"/>
            <w:tcMar>
              <w:top w:type="dxa" w:w="80"/>
              <w:left w:type="dxa" w:w="100"/>
              <w:bottom w:type="dxa" w:w="80"/>
              <w:right w:type="dxa" w:w="100"/>
            </w:tcMar>
            <w:vAlign w:val="center"/>
          </w:tcPr>
          <w:p>
            <w:pPr>
              <w:jc w:val="left"/>
            </w:pPr>
            <w:r>
              <w:rPr>
                <w:b w:val="false"/>
                <w:bCs w:val="false"/>
                <w:color w:val="111827"/>
                <w:sz w:val="19"/>
                <w:szCs w:val="19"/>
              </w:rPr>
              <w:t xml:space="preserve">3,866 genes × 754 lines = 2,908,906 scored pairs</w:t>
            </w:r>
          </w:p>
        </w:tc>
      </w:tr>
      <w:tr>
        <w:tc>
          <w:tcPr>
            <w:tcW w:type="dxa" w:w="3400"/>
            <w:shd w:fill="F3F4F6" w:val="clear"/>
            <w:tcMar>
              <w:top w:type="dxa" w:w="80"/>
              <w:left w:type="dxa" w:w="100"/>
              <w:bottom w:type="dxa" w:w="80"/>
              <w:right w:type="dxa" w:w="100"/>
            </w:tcMar>
            <w:vAlign w:val="center"/>
          </w:tcPr>
          <w:p>
            <w:pPr>
              <w:jc w:val="left"/>
            </w:pPr>
            <w:r>
              <w:rPr>
                <w:b w:val="false"/>
                <w:bCs w:val="false"/>
                <w:color w:val="111827"/>
                <w:sz w:val="19"/>
                <w:szCs w:val="19"/>
              </w:rPr>
              <w:t xml:space="preserve">Gene validity (overall)</w:t>
            </w:r>
          </w:p>
        </w:tc>
        <w:tc>
          <w:tcPr>
            <w:tcW w:type="dxa" w:w="6600"/>
            <w:shd w:fill="F3F4F6" w:val="clear"/>
            <w:tcMar>
              <w:top w:type="dxa" w:w="80"/>
              <w:left w:type="dxa" w:w="100"/>
              <w:bottom w:type="dxa" w:w="80"/>
              <w:right w:type="dxa" w:w="100"/>
            </w:tcMar>
            <w:vAlign w:val="center"/>
          </w:tcPr>
          <w:p>
            <w:pPr>
              <w:jc w:val="left"/>
            </w:pPr>
            <w:r>
              <w:rPr>
                <w:b w:val="false"/>
                <w:bCs w:val="false"/>
                <w:color w:val="111827"/>
                <w:sz w:val="19"/>
                <w:szCs w:val="19"/>
              </w:rPr>
              <w:t xml:space="preserve">12,469 valid / 4,832 invalid of 17,301 genes (27.9% invalid)</w:t>
            </w:r>
          </w:p>
        </w:tc>
      </w:tr>
      <w:tr>
        <w:tc>
          <w:tcPr>
            <w:tcW w:type="dxa" w:w="3400"/>
            <w:tcMar>
              <w:top w:type="dxa" w:w="80"/>
              <w:left w:type="dxa" w:w="100"/>
              <w:bottom w:type="dxa" w:w="80"/>
              <w:right w:type="dxa" w:w="100"/>
            </w:tcMar>
            <w:vAlign w:val="center"/>
          </w:tcPr>
          <w:p>
            <w:pPr>
              <w:jc w:val="left"/>
            </w:pPr>
            <w:r>
              <w:rPr>
                <w:b w:val="false"/>
                <w:bCs w:val="false"/>
                <w:color w:val="111827"/>
                <w:sz w:val="19"/>
                <w:szCs w:val="19"/>
              </w:rPr>
              <w:t xml:space="preserve">Chronos scale check</w:t>
            </w:r>
          </w:p>
        </w:tc>
        <w:tc>
          <w:tcPr>
            <w:tcW w:type="dxa" w:w="6600"/>
            <w:tcMar>
              <w:top w:type="dxa" w:w="80"/>
              <w:left w:type="dxa" w:w="100"/>
              <w:bottom w:type="dxa" w:w="80"/>
              <w:right w:type="dxa" w:w="100"/>
            </w:tcMar>
            <w:vAlign w:val="center"/>
          </w:tcPr>
          <w:p>
            <w:pPr>
              <w:jc w:val="left"/>
            </w:pPr>
            <w:r>
              <w:rPr>
                <w:b w:val="false"/>
                <w:bCs w:val="false"/>
                <w:color w:val="111827"/>
                <w:sz w:val="19"/>
                <w:szCs w:val="19"/>
              </w:rPr>
              <w:t xml:space="preserve">median essential = −0.973, median non-essential = 0.0012, label FPR = 0.00928 — passed</w:t>
            </w:r>
          </w:p>
        </w:tc>
      </w:tr>
      <w:tr>
        <w:tc>
          <w:tcPr>
            <w:tcW w:type="dxa" w:w="3400"/>
            <w:shd w:fill="F3F4F6" w:val="clear"/>
            <w:tcMar>
              <w:top w:type="dxa" w:w="80"/>
              <w:left w:type="dxa" w:w="100"/>
              <w:bottom w:type="dxa" w:w="80"/>
              <w:right w:type="dxa" w:w="100"/>
            </w:tcMar>
            <w:vAlign w:val="center"/>
          </w:tcPr>
          <w:p>
            <w:pPr>
              <w:jc w:val="left"/>
            </w:pPr>
            <w:r>
              <w:rPr>
                <w:b w:val="false"/>
                <w:bCs w:val="false"/>
                <w:color w:val="111827"/>
                <w:sz w:val="19"/>
                <w:szCs w:val="19"/>
              </w:rPr>
              <w:t xml:space="preserve">24Q4 refresh panel (audit 08)</w:t>
            </w:r>
          </w:p>
        </w:tc>
        <w:tc>
          <w:tcPr>
            <w:tcW w:type="dxa" w:w="6600"/>
            <w:shd w:fill="F3F4F6" w:val="clear"/>
            <w:tcMar>
              <w:top w:type="dxa" w:w="80"/>
              <w:left w:type="dxa" w:w="100"/>
              <w:bottom w:type="dxa" w:w="80"/>
              <w:right w:type="dxa" w:w="100"/>
            </w:tcMar>
            <w:vAlign w:val="center"/>
          </w:tcPr>
          <w:p>
            <w:pPr>
              <w:jc w:val="left"/>
            </w:pPr>
            <w:r>
              <w:rPr>
                <w:b w:val="false"/>
                <w:bCs w:val="false"/>
                <w:color w:val="111827"/>
                <w:sz w:val="19"/>
                <w:szCs w:val="19"/>
              </w:rPr>
              <w:t xml:space="preserve">1,103 usable lines (up from 754)</w:t>
            </w:r>
          </w:p>
        </w:tc>
      </w:tr>
    </w:tbl>
    <w:p>
      <w:pPr>
        <w:spacing w:after="160"/>
      </w:pPr>
    </w:p>
    <w:p>
      <w:pPr>
        <w:pStyle w:val="Heading2"/>
        <w:spacing w:after="140" w:before="320"/>
      </w:pPr>
      <w:r>
        <w:rPr>
          <w:b/>
          <w:bCs/>
          <w:color w:val="1F2937"/>
          <w:sz w:val="25"/>
          <w:szCs w:val="25"/>
        </w:rPr>
        <w:t xml:space="preserve">4.5 Overall conclusion of the re-audit</w:t>
      </w:r>
    </w:p>
    <w:p>
      <w:pPr>
        <w:spacing w:after="160" w:line="276"/>
      </w:pPr>
      <w:r>
        <w:rPr>
          <w:sz w:val="21"/>
          <w:szCs w:val="21"/>
        </w:rPr>
        <w:t xml:space="preserve">After correcting for the denominator artifact and the clustering-inflated p-value, and after testing region choice, screen source, label type, statistical power, and perturbation type independently, the defensible residual claim is narrow: a CRISPR-specific (not general abundance–dependency) effect, concentrated below 5% dependency prevalence, of roughly 20–29% depletion with pAUC ≈ 0.60. The RNAi result (audit 09) suggests the surviving signal is most likely a copy-number-driven CRISPR cutting-toxicity artifact rather than an abundance–dependency relationship — flagged in the audit as the next test to run, not yet completed.</w:t>
      </w:r>
    </w:p>
    <w:p>
      <w:r>
        <w:br w:type="page"/>
      </w:r>
    </w:p>
    <w:p>
      <w:pPr>
        <w:pStyle w:val="Heading1"/>
        <w:spacing w:after="200" w:before="480"/>
      </w:pPr>
      <w:r>
        <w:rPr>
          <w:b/>
          <w:bCs/>
          <w:color w:val="1F2937"/>
          <w:sz w:val="30"/>
          <w:szCs w:val="30"/>
        </w:rPr>
        <w:t xml:space="preserve">5. Additional test suites</w:t>
      </w:r>
    </w:p>
    <w:p>
      <w:pPr>
        <w:spacing w:after="160" w:line="276"/>
      </w:pPr>
      <w:r>
        <w:rPr>
          <w:rFonts w:ascii="Consolas" w:cs="Consolas" w:eastAsia="Consolas" w:hAnsi="Consolas"/>
          <w:color w:val="6B7280"/>
          <w:sz w:val="19"/>
          <w:szCs w:val="19"/>
        </w:rPr>
        <w:t xml:space="preserve">final_pipeline/Testing/, Validation/, Ranking/, run_gene_tests.py</w:t>
      </w:r>
    </w:p>
    <w:p>
      <w:pPr>
        <w:pStyle w:val="Heading2"/>
        <w:spacing w:after="140" w:before="320"/>
      </w:pPr>
      <w:r>
        <w:rPr>
          <w:b/>
          <w:bCs/>
          <w:color w:val="1F2937"/>
          <w:sz w:val="25"/>
          <w:szCs w:val="25"/>
        </w:rPr>
        <w:t xml:space="preserve">5.1 Pipeline diagnostic suite (Testing/run_tests.py)</w:t>
      </w:r>
    </w:p>
    <w:p>
      <w:pPr>
        <w:spacing w:after="160" w:line="276"/>
      </w:pPr>
      <w:r>
        <w:rPr>
          <w:sz w:val="21"/>
          <w:szCs w:val="21"/>
        </w:rPr>
        <w:t xml:space="preserve">A lightweight PASS/WARN/FAIL diagnostic suite run against pipeline outputs: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100"/>
        <w:gridCol w:w="3500"/>
        <w:gridCol w:w="3000"/>
      </w:tblGrid>
      <w:tr>
        <w:trPr>
          <w:tblHeader/>
        </w:trPr>
        <w:tc>
          <w:tcPr>
            <w:tcW w:type="dxa" w:w="3100"/>
            <w:shd w:fill="1F2937" w:val="clear"/>
            <w:tcMar>
              <w:top w:type="dxa" w:w="80"/>
              <w:left w:type="dxa" w:w="100"/>
              <w:bottom w:type="dxa" w:w="80"/>
              <w:right w:type="dxa" w:w="100"/>
            </w:tcMar>
            <w:vAlign w:val="center"/>
          </w:tcPr>
          <w:p>
            <w:pPr>
              <w:jc w:val="left"/>
            </w:pPr>
            <w:r>
              <w:rPr>
                <w:b/>
                <w:bCs/>
                <w:color w:val="FFFFFF"/>
                <w:sz w:val="19"/>
                <w:szCs w:val="19"/>
              </w:rPr>
              <w:t xml:space="preserve">Test</w:t>
            </w:r>
          </w:p>
        </w:tc>
        <w:tc>
          <w:tcPr>
            <w:tcW w:type="dxa" w:w="3500"/>
            <w:shd w:fill="1F2937" w:val="clear"/>
            <w:tcMar>
              <w:top w:type="dxa" w:w="80"/>
              <w:left w:type="dxa" w:w="100"/>
              <w:bottom w:type="dxa" w:w="80"/>
              <w:right w:type="dxa" w:w="100"/>
            </w:tcMar>
            <w:vAlign w:val="center"/>
          </w:tcPr>
          <w:p>
            <w:pPr>
              <w:jc w:val="left"/>
            </w:pPr>
            <w:r>
              <w:rPr>
                <w:b/>
                <w:bCs/>
                <w:color w:val="FFFFFF"/>
                <w:sz w:val="19"/>
                <w:szCs w:val="19"/>
              </w:rPr>
              <w:t xml:space="preserve">Check</w:t>
            </w:r>
          </w:p>
        </w:tc>
        <w:tc>
          <w:tcPr>
            <w:tcW w:type="dxa" w:w="3000"/>
            <w:shd w:fill="1F2937" w:val="clear"/>
            <w:tcMar>
              <w:top w:type="dxa" w:w="80"/>
              <w:left w:type="dxa" w:w="100"/>
              <w:bottom w:type="dxa" w:w="80"/>
              <w:right w:type="dxa" w:w="100"/>
            </w:tcMar>
            <w:vAlign w:val="center"/>
          </w:tcPr>
          <w:p>
            <w:pPr>
              <w:jc w:val="left"/>
            </w:pPr>
            <w:r>
              <w:rPr>
                <w:b/>
                <w:bCs/>
                <w:color w:val="FFFFFF"/>
                <w:sz w:val="19"/>
                <w:szCs w:val="19"/>
              </w:rPr>
              <w:t xml:space="preserve">Pass condition</w:t>
            </w:r>
          </w:p>
        </w:tc>
      </w:tr>
      <w:tr>
        <w:tc>
          <w:tcPr>
            <w:tcW w:type="dxa" w:w="3100"/>
            <w:tcMar>
              <w:top w:type="dxa" w:w="80"/>
              <w:left w:type="dxa" w:w="100"/>
              <w:bottom w:type="dxa" w:w="80"/>
              <w:right w:type="dxa" w:w="100"/>
            </w:tcMar>
            <w:vAlign w:val="center"/>
          </w:tcPr>
          <w:p>
            <w:pPr>
              <w:jc w:val="left"/>
            </w:pPr>
            <w:r>
              <w:rPr>
                <w:b w:val="false"/>
                <w:bCs w:val="false"/>
                <w:color w:val="111827"/>
                <w:sz w:val="19"/>
                <w:szCs w:val="19"/>
              </w:rPr>
              <w:t xml:space="preserve">test_rna_source_agreement</w:t>
            </w:r>
          </w:p>
        </w:tc>
        <w:tc>
          <w:tcPr>
            <w:tcW w:type="dxa" w:w="3500"/>
            <w:tcMar>
              <w:top w:type="dxa" w:w="80"/>
              <w:left w:type="dxa" w:w="100"/>
              <w:bottom w:type="dxa" w:w="80"/>
              <w:right w:type="dxa" w:w="100"/>
            </w:tcMar>
            <w:vAlign w:val="center"/>
          </w:tcPr>
          <w:p>
            <w:pPr>
              <w:jc w:val="left"/>
            </w:pPr>
            <w:r>
              <w:rPr>
                <w:b w:val="false"/>
                <w:bCs w:val="false"/>
                <w:color w:val="111827"/>
                <w:sz w:val="19"/>
                <w:szCs w:val="19"/>
              </w:rPr>
              <w:t xml:space="preserve">n_sources distribution in bulk_rna_z.parquet</w:t>
            </w:r>
          </w:p>
        </w:tc>
        <w:tc>
          <w:tcPr>
            <w:tcW w:type="dxa" w:w="3000"/>
            <w:tcMar>
              <w:top w:type="dxa" w:w="80"/>
              <w:left w:type="dxa" w:w="100"/>
              <w:bottom w:type="dxa" w:w="80"/>
              <w:right w:type="dxa" w:w="100"/>
            </w:tcMar>
            <w:vAlign w:val="center"/>
          </w:tcPr>
          <w:p>
            <w:pPr>
              <w:jc w:val="left"/>
            </w:pPr>
            <w:r>
              <w:rPr>
                <w:b w:val="false"/>
                <w:bCs w:val="false"/>
                <w:color w:val="111827"/>
                <w:sz w:val="19"/>
                <w:szCs w:val="19"/>
              </w:rPr>
              <w:t xml:space="preserve">10% &lt; 3-source coverage &lt; 90%</w:t>
            </w:r>
          </w:p>
        </w:tc>
      </w:tr>
      <w:tr>
        <w:tc>
          <w:tcPr>
            <w:tcW w:type="dxa" w:w="3100"/>
            <w:shd w:fill="F3F4F6" w:val="clear"/>
            <w:tcMar>
              <w:top w:type="dxa" w:w="80"/>
              <w:left w:type="dxa" w:w="100"/>
              <w:bottom w:type="dxa" w:w="80"/>
              <w:right w:type="dxa" w:w="100"/>
            </w:tcMar>
            <w:vAlign w:val="center"/>
          </w:tcPr>
          <w:p>
            <w:pPr>
              <w:jc w:val="left"/>
            </w:pPr>
            <w:r>
              <w:rPr>
                <w:b w:val="false"/>
                <w:bCs w:val="false"/>
                <w:color w:val="111827"/>
                <w:sz w:val="19"/>
                <w:szCs w:val="19"/>
              </w:rPr>
              <w:t xml:space="preserve">test_protein_platform_overlap</w:t>
            </w:r>
          </w:p>
        </w:tc>
        <w:tc>
          <w:tcPr>
            <w:tcW w:type="dxa" w:w="3500"/>
            <w:shd w:fill="F3F4F6" w:val="clear"/>
            <w:tcMar>
              <w:top w:type="dxa" w:w="80"/>
              <w:left w:type="dxa" w:w="100"/>
              <w:bottom w:type="dxa" w:w="80"/>
              <w:right w:type="dxa" w:w="100"/>
            </w:tcMar>
            <w:vAlign w:val="center"/>
          </w:tcPr>
          <w:p>
            <w:pPr>
              <w:jc w:val="left"/>
            </w:pPr>
            <w:r>
              <w:rPr>
                <w:b w:val="false"/>
                <w:bCs w:val="false"/>
                <w:color w:val="111827"/>
                <w:sz w:val="19"/>
                <w:szCs w:val="19"/>
              </w:rPr>
              <w:t xml:space="preserve">median cross-platform ρ</w:t>
            </w:r>
          </w:p>
        </w:tc>
        <w:tc>
          <w:tcPr>
            <w:tcW w:type="dxa" w:w="3000"/>
            <w:shd w:fill="F3F4F6" w:val="clear"/>
            <w:tcMar>
              <w:top w:type="dxa" w:w="80"/>
              <w:left w:type="dxa" w:w="100"/>
              <w:bottom w:type="dxa" w:w="80"/>
              <w:right w:type="dxa" w:w="100"/>
            </w:tcMar>
            <w:vAlign w:val="center"/>
          </w:tcPr>
          <w:p>
            <w:pPr>
              <w:jc w:val="left"/>
            </w:pPr>
            <w:r>
              <w:rPr>
                <w:b w:val="false"/>
                <w:bCs w:val="false"/>
                <w:color w:val="111827"/>
                <w:sz w:val="19"/>
                <w:szCs w:val="19"/>
              </w:rPr>
              <w:t xml:space="preserve">median ρ ∈ (0.30, 0.50), expected ≈ 0.37</w:t>
            </w:r>
          </w:p>
        </w:tc>
      </w:tr>
      <w:tr>
        <w:tc>
          <w:tcPr>
            <w:tcW w:type="dxa" w:w="3100"/>
            <w:tcMar>
              <w:top w:type="dxa" w:w="80"/>
              <w:left w:type="dxa" w:w="100"/>
              <w:bottom w:type="dxa" w:w="80"/>
              <w:right w:type="dxa" w:w="100"/>
            </w:tcMar>
            <w:vAlign w:val="center"/>
          </w:tcPr>
          <w:p>
            <w:pPr>
              <w:jc w:val="left"/>
            </w:pPr>
            <w:r>
              <w:rPr>
                <w:b w:val="false"/>
                <w:bCs w:val="false"/>
                <w:color w:val="111827"/>
                <w:sz w:val="19"/>
                <w:szCs w:val="19"/>
              </w:rPr>
              <w:t xml:space="preserve">test_core_score_distribution</w:t>
            </w:r>
          </w:p>
        </w:tc>
        <w:tc>
          <w:tcPr>
            <w:tcW w:type="dxa" w:w="3500"/>
            <w:tcMar>
              <w:top w:type="dxa" w:w="80"/>
              <w:left w:type="dxa" w:w="100"/>
              <w:bottom w:type="dxa" w:w="80"/>
              <w:right w:type="dxa" w:w="100"/>
            </w:tcMar>
            <w:vAlign w:val="center"/>
          </w:tcPr>
          <w:p>
            <w:pPr>
              <w:jc w:val="left"/>
            </w:pPr>
            <w:r>
              <w:rPr>
                <w:b w:val="false"/>
                <w:bCs w:val="false"/>
                <w:color w:val="111827"/>
                <w:sz w:val="19"/>
                <w:szCs w:val="19"/>
              </w:rPr>
              <w:t xml:space="preserve">mean core_score</w:t>
            </w:r>
          </w:p>
        </w:tc>
        <w:tc>
          <w:tcPr>
            <w:tcW w:type="dxa" w:w="3000"/>
            <w:tcMar>
              <w:top w:type="dxa" w:w="80"/>
              <w:left w:type="dxa" w:w="100"/>
              <w:bottom w:type="dxa" w:w="80"/>
              <w:right w:type="dxa" w:w="100"/>
            </w:tcMar>
            <w:vAlign w:val="center"/>
          </w:tcPr>
          <w:p>
            <w:pPr>
              <w:jc w:val="left"/>
            </w:pPr>
            <w:r>
              <w:rPr>
                <w:b w:val="false"/>
                <w:bCs w:val="false"/>
                <w:color w:val="111827"/>
                <w:sz w:val="19"/>
                <w:szCs w:val="19"/>
              </w:rPr>
              <w:t xml:space="preserve">mean ∈ (0.3, 0.7)</w:t>
            </w:r>
          </w:p>
        </w:tc>
      </w:tr>
      <w:tr>
        <w:tc>
          <w:tcPr>
            <w:tcW w:type="dxa" w:w="3100"/>
            <w:shd w:fill="F3F4F6" w:val="clear"/>
            <w:tcMar>
              <w:top w:type="dxa" w:w="80"/>
              <w:left w:type="dxa" w:w="100"/>
              <w:bottom w:type="dxa" w:w="80"/>
              <w:right w:type="dxa" w:w="100"/>
            </w:tcMar>
            <w:vAlign w:val="center"/>
          </w:tcPr>
          <w:p>
            <w:pPr>
              <w:jc w:val="left"/>
            </w:pPr>
            <w:r>
              <w:rPr>
                <w:b w:val="false"/>
                <w:bCs w:val="false"/>
                <w:color w:val="111827"/>
                <w:sz w:val="19"/>
                <w:szCs w:val="19"/>
              </w:rPr>
              <w:t xml:space="preserve">test_eval_summary</w:t>
            </w:r>
          </w:p>
        </w:tc>
        <w:tc>
          <w:tcPr>
            <w:tcW w:type="dxa" w:w="3500"/>
            <w:shd w:fill="F3F4F6" w:val="clear"/>
            <w:tcMar>
              <w:top w:type="dxa" w:w="80"/>
              <w:left w:type="dxa" w:w="100"/>
              <w:bottom w:type="dxa" w:w="80"/>
              <w:right w:type="dxa" w:w="100"/>
            </w:tcMar>
            <w:vAlign w:val="center"/>
          </w:tcPr>
          <w:p>
            <w:pPr>
              <w:jc w:val="left"/>
            </w:pPr>
            <w:r>
              <w:rPr>
                <w:b w:val="false"/>
                <w:bCs w:val="false"/>
                <w:color w:val="111827"/>
                <w:sz w:val="19"/>
                <w:szCs w:val="19"/>
              </w:rPr>
              <w:t xml:space="preserve">driver-gated vs flat ranking hit rate</w:t>
            </w:r>
          </w:p>
        </w:tc>
        <w:tc>
          <w:tcPr>
            <w:tcW w:type="dxa" w:w="3000"/>
            <w:shd w:fill="F3F4F6" w:val="clear"/>
            <w:tcMar>
              <w:top w:type="dxa" w:w="80"/>
              <w:left w:type="dxa" w:w="100"/>
              <w:bottom w:type="dxa" w:w="80"/>
              <w:right w:type="dxa" w:w="100"/>
            </w:tcMar>
            <w:vAlign w:val="center"/>
          </w:tcPr>
          <w:p>
            <w:pPr>
              <w:jc w:val="left"/>
            </w:pPr>
            <w:r>
              <w:rPr>
                <w:b w:val="false"/>
                <w:bCs w:val="false"/>
                <w:color w:val="111827"/>
                <w:sz w:val="19"/>
                <w:szCs w:val="19"/>
              </w:rPr>
              <w:t xml:space="preserve">hits20_driver − hits20_flat ≥ 0, per gene class</w:t>
            </w:r>
          </w:p>
        </w:tc>
      </w:tr>
    </w:tbl>
    <w:p>
      <w:pPr>
        <w:spacing w:after="160"/>
      </w:pPr>
    </w:p>
    <w:p>
      <w:pPr>
        <w:pStyle w:val="Heading2"/>
        <w:spacing w:after="140" w:before="320"/>
      </w:pPr>
      <w:r>
        <w:rPr>
          <w:b/>
          <w:bCs/>
          <w:color w:val="1F2937"/>
          <w:sz w:val="25"/>
          <w:szCs w:val="25"/>
        </w:rPr>
        <w:t xml:space="preserve">5.2 Held-out ranking evaluation (Validation/eval.py)</w:t>
      </w:r>
    </w:p>
    <w:p>
      <w:pPr>
        <w:spacing w:after="160" w:line="276"/>
      </w:pPr>
      <w:r>
        <w:rPr>
          <w:sz w:val="21"/>
          <w:szCs w:val="21"/>
        </w:rPr>
        <w:t xml:space="preserve">Compares three ranking strategies — flat, any-alt, driver-gated — on a 20%-gene holdout (seed = 42) against GDSC2 drug sensitivity as ground truth (hit@20 metric).</w:t>
      </w:r>
    </w:p>
    <w:p>
      <w:pPr>
        <w:pStyle w:val="ListParagraph"/>
        <w:numPr>
          <w:ilvl w:val="0"/>
          <w:numId w:val="2"/>
        </w:numPr>
        <w:spacing w:after="90" w:line="260"/>
      </w:pPr>
      <w:r>
        <w:rPr>
          <w:b w:val="false"/>
          <w:bCs w:val="false"/>
          <w:i w:val="false"/>
          <w:iCs w:val="false"/>
          <w:sz w:val="21"/>
          <w:szCs w:val="21"/>
        </w:rPr>
        <w:t xml:space="preserve">Per-drug threshold: </w:t>
      </w:r>
      <w:r>
        <w:rPr>
          <w:b w:val="false"/>
          <w:bCs w:val="false"/>
          <w:i w:val="false"/>
          <w:iCs w:val="false"/>
          <w:sz w:val="21"/>
          <w:szCs w:val="21"/>
        </w:rPr>
        <w:t xml:space="preserve">MAD-z sensitivity cutoff of −1.0, rather than a single global IC50 threshold, following Iorio et al. (Cell, 2016) — a global cutoff would encode drug potency rather than line sensitivity.</w:t>
      </w:r>
    </w:p>
    <w:p>
      <w:pPr>
        <w:pStyle w:val="ListParagraph"/>
        <w:numPr>
          <w:ilvl w:val="0"/>
          <w:numId w:val="2"/>
        </w:numPr>
        <w:spacing w:after="90" w:line="260"/>
      </w:pPr>
      <w:r>
        <w:rPr>
          <w:b w:val="false"/>
          <w:bCs w:val="false"/>
          <w:i w:val="false"/>
          <w:iCs w:val="false"/>
          <w:sz w:val="21"/>
          <w:szCs w:val="21"/>
        </w:rPr>
        <w:t xml:space="preserve">Guard check: </w:t>
      </w:r>
      <w:r>
        <w:rPr>
          <w:b w:val="false"/>
          <w:bCs w:val="false"/>
          <w:i w:val="false"/>
          <w:iCs w:val="false"/>
          <w:sz w:val="21"/>
          <w:szCs w:val="21"/>
        </w:rPr>
        <w:t xml:space="preserve">warns if fewer than 80% of drugs have a 5–40% sensitivity rate under that threshold.</w:t>
      </w:r>
    </w:p>
    <w:p>
      <w:pPr>
        <w:pStyle w:val="ListParagraph"/>
        <w:numPr>
          <w:ilvl w:val="0"/>
          <w:numId w:val="2"/>
        </w:numPr>
        <w:spacing w:after="90" w:line="260"/>
      </w:pPr>
      <w:r>
        <w:rPr>
          <w:b w:val="false"/>
          <w:bCs w:val="false"/>
          <w:i w:val="false"/>
          <w:iCs w:val="false"/>
          <w:sz w:val="21"/>
          <w:szCs w:val="21"/>
        </w:rPr>
        <w:t xml:space="preserve">Role-directional ranking: </w:t>
      </w:r>
      <w:r>
        <w:rPr>
          <w:b w:val="false"/>
          <w:bCs w:val="false"/>
          <w:i w:val="false"/>
          <w:iCs w:val="false"/>
          <w:sz w:val="21"/>
          <w:szCs w:val="21"/>
        </w:rPr>
        <w:t xml:space="preserve">loss-of-function driver lines rank high under low expression, gain-of-function driver lines rank high under high expression; the flat-ranking control is deliberately kept role-blind to avoid contaminating the comparison.</w:t>
      </w:r>
    </w:p>
    <w:p>
      <w:pPr>
        <w:pStyle w:val="Heading3"/>
        <w:spacing w:after="100" w:before="220"/>
      </w:pPr>
      <w:r>
        <w:rPr>
          <w:b/>
          <w:bCs/>
          <w:color w:val="2563EB"/>
          <w:sz w:val="22"/>
          <w:szCs w:val="22"/>
        </w:rPr>
        <w:t xml:space="preserve">Result (outputs/stage4_eval_summary.json)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3000"/>
        <w:gridCol w:w="1600"/>
      </w:tblGrid>
      <w:tr>
        <w:trPr>
          <w:tblHeader/>
        </w:trPr>
        <w:tc>
          <w:tcPr>
            <w:tcW w:type="dxa" w:w="2600"/>
            <w:shd w:fill="1F2937" w:val="clear"/>
            <w:tcMar>
              <w:top w:type="dxa" w:w="80"/>
              <w:left w:type="dxa" w:w="100"/>
              <w:bottom w:type="dxa" w:w="80"/>
              <w:right w:type="dxa" w:w="100"/>
            </w:tcMar>
            <w:vAlign w:val="center"/>
          </w:tcPr>
          <w:p>
            <w:pPr>
              <w:jc w:val="left"/>
            </w:pPr>
            <w:r>
              <w:rPr>
                <w:b/>
                <w:bCs/>
                <w:color w:val="FFFFFF"/>
                <w:sz w:val="19"/>
                <w:szCs w:val="19"/>
              </w:rPr>
              <w:t xml:space="preserve">Gene class</w:t>
            </w:r>
          </w:p>
        </w:tc>
        <w:tc>
          <w:tcPr>
            <w:tcW w:type="dxa" w:w="2400"/>
            <w:shd w:fill="1F2937" w:val="clear"/>
            <w:tcMar>
              <w:top w:type="dxa" w:w="80"/>
              <w:left w:type="dxa" w:w="100"/>
              <w:bottom w:type="dxa" w:w="80"/>
              <w:right w:type="dxa" w:w="100"/>
            </w:tcMar>
            <w:vAlign w:val="center"/>
          </w:tcPr>
          <w:p>
            <w:pPr>
              <w:jc w:val="left"/>
            </w:pPr>
            <w:r>
              <w:rPr>
                <w:b/>
                <w:bCs/>
                <w:color w:val="FFFFFF"/>
                <w:sz w:val="19"/>
                <w:szCs w:val="19"/>
              </w:rPr>
              <w:t xml:space="preserve">hit@20 flat</w:t>
            </w:r>
          </w:p>
        </w:tc>
        <w:tc>
          <w:tcPr>
            <w:tcW w:type="dxa" w:w="3000"/>
            <w:shd w:fill="1F2937" w:val="clear"/>
            <w:tcMar>
              <w:top w:type="dxa" w:w="80"/>
              <w:left w:type="dxa" w:w="100"/>
              <w:bottom w:type="dxa" w:w="80"/>
              <w:right w:type="dxa" w:w="100"/>
            </w:tcMar>
            <w:vAlign w:val="center"/>
          </w:tcPr>
          <w:p>
            <w:pPr>
              <w:jc w:val="left"/>
            </w:pPr>
            <w:r>
              <w:rPr>
                <w:b/>
                <w:bCs/>
                <w:color w:val="FFFFFF"/>
                <w:sz w:val="19"/>
                <w:szCs w:val="19"/>
              </w:rPr>
              <w:t xml:space="preserve">hit@20 driver-gated</w:t>
            </w:r>
          </w:p>
        </w:tc>
        <w:tc>
          <w:tcPr>
            <w:tcW w:type="dxa" w:w="1600"/>
            <w:shd w:fill="1F2937" w:val="clear"/>
            <w:tcMar>
              <w:top w:type="dxa" w:w="80"/>
              <w:left w:type="dxa" w:w="100"/>
              <w:bottom w:type="dxa" w:w="80"/>
              <w:right w:type="dxa" w:w="100"/>
            </w:tcMar>
            <w:vAlign w:val="center"/>
          </w:tcPr>
          <w:p>
            <w:pPr>
              <w:jc w:val="left"/>
            </w:pPr>
            <w:r>
              <w:rPr>
                <w:b/>
                <w:bCs/>
                <w:color w:val="FFFFFF"/>
                <w:sz w:val="19"/>
                <w:szCs w:val="19"/>
              </w:rPr>
              <w:t xml:space="preserve">Lift</w:t>
            </w:r>
          </w:p>
        </w:tc>
      </w:tr>
      <w:tr>
        <w:tc>
          <w:tcPr>
            <w:tcW w:type="dxa" w:w="2600"/>
            <w:tcMar>
              <w:top w:type="dxa" w:w="80"/>
              <w:left w:type="dxa" w:w="100"/>
              <w:bottom w:type="dxa" w:w="80"/>
              <w:right w:type="dxa" w:w="100"/>
            </w:tcMar>
            <w:vAlign w:val="center"/>
          </w:tcPr>
          <w:p>
            <w:pPr>
              <w:jc w:val="left"/>
            </w:pPr>
            <w:r>
              <w:rPr>
                <w:b w:val="false"/>
                <w:bCs w:val="false"/>
                <w:color w:val="111827"/>
                <w:sz w:val="19"/>
                <w:szCs w:val="19"/>
              </w:rPr>
              <w:t xml:space="preserve">oncogene</w:t>
            </w:r>
          </w:p>
        </w:tc>
        <w:tc>
          <w:tcPr>
            <w:tcW w:type="dxa" w:w="2400"/>
            <w:tcMar>
              <w:top w:type="dxa" w:w="80"/>
              <w:left w:type="dxa" w:w="100"/>
              <w:bottom w:type="dxa" w:w="80"/>
              <w:right w:type="dxa" w:w="100"/>
            </w:tcMar>
            <w:vAlign w:val="center"/>
          </w:tcPr>
          <w:p>
            <w:pPr>
              <w:jc w:val="left"/>
            </w:pPr>
            <w:r>
              <w:rPr>
                <w:b w:val="false"/>
                <w:bCs w:val="false"/>
                <w:color w:val="111827"/>
                <w:sz w:val="19"/>
                <w:szCs w:val="19"/>
              </w:rPr>
              <w:t xml:space="preserve">0.0294</w:t>
            </w:r>
          </w:p>
        </w:tc>
        <w:tc>
          <w:tcPr>
            <w:tcW w:type="dxa" w:w="3000"/>
            <w:tcMar>
              <w:top w:type="dxa" w:w="80"/>
              <w:left w:type="dxa" w:w="100"/>
              <w:bottom w:type="dxa" w:w="80"/>
              <w:right w:type="dxa" w:w="100"/>
            </w:tcMar>
            <w:vAlign w:val="center"/>
          </w:tcPr>
          <w:p>
            <w:pPr>
              <w:jc w:val="left"/>
            </w:pPr>
            <w:r>
              <w:rPr>
                <w:b w:val="false"/>
                <w:bCs w:val="false"/>
                <w:color w:val="111827"/>
                <w:sz w:val="19"/>
                <w:szCs w:val="19"/>
              </w:rPr>
              <w:t xml:space="preserve">0.0615</w:t>
            </w:r>
          </w:p>
        </w:tc>
        <w:tc>
          <w:tcPr>
            <w:tcW w:type="dxa" w:w="1600"/>
            <w:tcMar>
              <w:top w:type="dxa" w:w="80"/>
              <w:left w:type="dxa" w:w="100"/>
              <w:bottom w:type="dxa" w:w="80"/>
              <w:right w:type="dxa" w:w="100"/>
            </w:tcMar>
            <w:vAlign w:val="center"/>
          </w:tcPr>
          <w:p>
            <w:pPr>
              <w:jc w:val="left"/>
            </w:pPr>
            <w:r>
              <w:rPr>
                <w:b w:val="false"/>
                <w:bCs w:val="false"/>
                <w:color w:val="111827"/>
                <w:sz w:val="19"/>
                <w:szCs w:val="19"/>
              </w:rPr>
              <w:t xml:space="preserve">+0.032</w:t>
            </w:r>
          </w:p>
        </w:tc>
      </w:tr>
      <w:tr>
        <w:tc>
          <w:tcPr>
            <w:tcW w:type="dxa" w:w="2600"/>
            <w:shd w:fill="F3F4F6" w:val="clear"/>
            <w:tcMar>
              <w:top w:type="dxa" w:w="80"/>
              <w:left w:type="dxa" w:w="100"/>
              <w:bottom w:type="dxa" w:w="80"/>
              <w:right w:type="dxa" w:w="100"/>
            </w:tcMar>
            <w:vAlign w:val="center"/>
          </w:tcPr>
          <w:p>
            <w:pPr>
              <w:jc w:val="left"/>
            </w:pPr>
            <w:r>
              <w:rPr>
                <w:b w:val="false"/>
                <w:bCs w:val="false"/>
                <w:color w:val="111827"/>
                <w:sz w:val="19"/>
                <w:szCs w:val="19"/>
              </w:rPr>
              <w:t xml:space="preserve">tsg</w:t>
            </w:r>
          </w:p>
        </w:tc>
        <w:tc>
          <w:tcPr>
            <w:tcW w:type="dxa" w:w="2400"/>
            <w:shd w:fill="F3F4F6" w:val="clear"/>
            <w:tcMar>
              <w:top w:type="dxa" w:w="80"/>
              <w:left w:type="dxa" w:w="100"/>
              <w:bottom w:type="dxa" w:w="80"/>
              <w:right w:type="dxa" w:w="100"/>
            </w:tcMar>
            <w:vAlign w:val="center"/>
          </w:tcPr>
          <w:p>
            <w:pPr>
              <w:jc w:val="left"/>
            </w:pPr>
            <w:r>
              <w:rPr>
                <w:b w:val="false"/>
                <w:bCs w:val="false"/>
                <w:color w:val="111827"/>
                <w:sz w:val="19"/>
                <w:szCs w:val="19"/>
              </w:rPr>
              <w:t xml:space="preserve">0.0081</w:t>
            </w:r>
          </w:p>
        </w:tc>
        <w:tc>
          <w:tcPr>
            <w:tcW w:type="dxa" w:w="3000"/>
            <w:shd w:fill="F3F4F6" w:val="clear"/>
            <w:tcMar>
              <w:top w:type="dxa" w:w="80"/>
              <w:left w:type="dxa" w:w="100"/>
              <w:bottom w:type="dxa" w:w="80"/>
              <w:right w:type="dxa" w:w="100"/>
            </w:tcMar>
            <w:vAlign w:val="center"/>
          </w:tcPr>
          <w:p>
            <w:pPr>
              <w:jc w:val="left"/>
            </w:pPr>
            <w:r>
              <w:rPr>
                <w:b w:val="false"/>
                <w:bCs w:val="false"/>
                <w:color w:val="111827"/>
                <w:sz w:val="19"/>
                <w:szCs w:val="19"/>
              </w:rPr>
              <w:t xml:space="preserve">0.0163</w:t>
            </w:r>
          </w:p>
        </w:tc>
        <w:tc>
          <w:tcPr>
            <w:tcW w:type="dxa" w:w="1600"/>
            <w:shd w:fill="F3F4F6" w:val="clear"/>
            <w:tcMar>
              <w:top w:type="dxa" w:w="80"/>
              <w:left w:type="dxa" w:w="100"/>
              <w:bottom w:type="dxa" w:w="80"/>
              <w:right w:type="dxa" w:w="100"/>
            </w:tcMar>
            <w:vAlign w:val="center"/>
          </w:tcPr>
          <w:p>
            <w:pPr>
              <w:jc w:val="left"/>
            </w:pPr>
            <w:r>
              <w:rPr>
                <w:b w:val="false"/>
                <w:bCs w:val="false"/>
                <w:color w:val="111827"/>
                <w:sz w:val="19"/>
                <w:szCs w:val="19"/>
              </w:rPr>
              <w:t xml:space="preserve">+0.008</w:t>
            </w:r>
          </w:p>
        </w:tc>
      </w:tr>
      <w:tr>
        <w:tc>
          <w:tcPr>
            <w:tcW w:type="dxa" w:w="2600"/>
            <w:tcMar>
              <w:top w:type="dxa" w:w="80"/>
              <w:left w:type="dxa" w:w="100"/>
              <w:bottom w:type="dxa" w:w="80"/>
              <w:right w:type="dxa" w:w="100"/>
            </w:tcMar>
            <w:vAlign w:val="center"/>
          </w:tcPr>
          <w:p>
            <w:pPr>
              <w:jc w:val="left"/>
            </w:pPr>
            <w:r>
              <w:rPr>
                <w:b w:val="false"/>
                <w:bCs w:val="false"/>
                <w:color w:val="111827"/>
                <w:sz w:val="19"/>
                <w:szCs w:val="19"/>
              </w:rPr>
              <w:t xml:space="preserve">both</w:t>
            </w:r>
          </w:p>
        </w:tc>
        <w:tc>
          <w:tcPr>
            <w:tcW w:type="dxa" w:w="2400"/>
            <w:tcMar>
              <w:top w:type="dxa" w:w="80"/>
              <w:left w:type="dxa" w:w="100"/>
              <w:bottom w:type="dxa" w:w="80"/>
              <w:right w:type="dxa" w:w="100"/>
            </w:tcMar>
            <w:vAlign w:val="center"/>
          </w:tcPr>
          <w:p>
            <w:pPr>
              <w:jc w:val="left"/>
            </w:pPr>
            <w:r>
              <w:rPr>
                <w:b w:val="false"/>
                <w:bCs w:val="false"/>
                <w:color w:val="111827"/>
                <w:sz w:val="19"/>
                <w:szCs w:val="19"/>
              </w:rPr>
              <w:t xml:space="preserve">0.0114</w:t>
            </w:r>
          </w:p>
        </w:tc>
        <w:tc>
          <w:tcPr>
            <w:tcW w:type="dxa" w:w="3000"/>
            <w:tcMar>
              <w:top w:type="dxa" w:w="80"/>
              <w:left w:type="dxa" w:w="100"/>
              <w:bottom w:type="dxa" w:w="80"/>
              <w:right w:type="dxa" w:w="100"/>
            </w:tcMar>
            <w:vAlign w:val="center"/>
          </w:tcPr>
          <w:p>
            <w:pPr>
              <w:jc w:val="left"/>
            </w:pPr>
            <w:r>
              <w:rPr>
                <w:b w:val="false"/>
                <w:bCs w:val="false"/>
                <w:color w:val="111827"/>
                <w:sz w:val="19"/>
                <w:szCs w:val="19"/>
              </w:rPr>
              <w:t xml:space="preserve">0.0284</w:t>
            </w:r>
          </w:p>
        </w:tc>
        <w:tc>
          <w:tcPr>
            <w:tcW w:type="dxa" w:w="1600"/>
            <w:tcMar>
              <w:top w:type="dxa" w:w="80"/>
              <w:left w:type="dxa" w:w="100"/>
              <w:bottom w:type="dxa" w:w="80"/>
              <w:right w:type="dxa" w:w="100"/>
            </w:tcMar>
            <w:vAlign w:val="center"/>
          </w:tcPr>
          <w:p>
            <w:pPr>
              <w:jc w:val="left"/>
            </w:pPr>
            <w:r>
              <w:rPr>
                <w:b w:val="false"/>
                <w:bCs w:val="false"/>
                <w:color w:val="111827"/>
                <w:sz w:val="19"/>
                <w:szCs w:val="19"/>
              </w:rPr>
              <w:t xml:space="preserve">+0.017</w:t>
            </w:r>
          </w:p>
        </w:tc>
      </w:tr>
    </w:tbl>
    <w:p>
      <w:pPr>
        <w:spacing w:after="120"/>
      </w:pPr>
    </w:p>
    <w:p>
      <w:pPr>
        <w:spacing w:after="160" w:line="276"/>
      </w:pPr>
      <w:r>
        <w:rPr>
          <w:sz w:val="21"/>
          <w:szCs w:val="21"/>
        </w:rPr>
        <w:t xml:space="preserve">n = 28 held-out genes scored. Driver-gated ranking roughly doubles hit@20 over flat ranking in every gene class tested.</w:t>
      </w:r>
    </w:p>
    <w:p>
      <w:pPr>
        <w:pStyle w:val="Heading2"/>
        <w:spacing w:after="140" w:before="320"/>
      </w:pPr>
      <w:r>
        <w:rPr>
          <w:b/>
          <w:bCs/>
          <w:color w:val="1F2937"/>
          <w:sz w:val="25"/>
          <w:szCs w:val="25"/>
        </w:rPr>
        <w:t xml:space="preserve">5.3 Manual gene sanity panel (run_gene_tests.py)</w:t>
      </w:r>
    </w:p>
    <w:p>
      <w:pPr>
        <w:spacing w:after="160" w:line="276"/>
      </w:pPr>
      <w:r>
        <w:rPr>
          <w:sz w:val="21"/>
          <w:szCs w:val="21"/>
        </w:rPr>
        <w:t xml:space="preserve">Runs 8 hand-picked genes (FGFR2, CD86, ERBB2, KLK4, GAPDH, ASGR1, MUC1, CD3E) through the ranking function, each annotated with an expected qualitative behaviour — e.g. GAPDH, a housekeeping gene, should not produce many extreme high scores — and prints confidence-tier breakdown and score statistics per gene as an eyeball QC pass.</w:t>
      </w:r>
    </w:p>
    <w:p>
      <w:pPr>
        <w:pStyle w:val="Heading2"/>
        <w:spacing w:after="140" w:before="320"/>
      </w:pPr>
      <w:r>
        <w:rPr>
          <w:b/>
          <w:bCs/>
          <w:color w:val="1F2937"/>
          <w:sz w:val="25"/>
          <w:szCs w:val="25"/>
        </w:rPr>
        <w:t xml:space="preserve">5.4 Join-logic unit tests (Ranking/test_cmd_genes_3way.py)</w:t>
      </w:r>
    </w:p>
    <w:p>
      <w:pPr>
        <w:spacing w:after="160" w:line="276"/>
      </w:pPr>
      <w:r>
        <w:rPr>
          <w:sz w:val="21"/>
          <w:szCs w:val="21"/>
        </w:rPr>
        <w:t xml:space="preserve">An actual pytest suite (compiled pytest cache confirms it has been executed) validating the 3-gene co-selection join logic against real prediction data:</w:t>
      </w:r>
    </w:p>
    <w:p>
      <w:pPr>
        <w:pStyle w:val="ListParagraph"/>
        <w:numPr>
          <w:ilvl w:val="0"/>
          <w:numId w:val="2"/>
        </w:numPr>
        <w:spacing w:after="90" w:line="260"/>
      </w:pPr>
      <w:r>
        <w:rPr>
          <w:sz w:val="21"/>
          <w:szCs w:val="21"/>
        </w:rPr>
        <w:t xml:space="preserve">Triplet joint score = min of the three per-gene scores.</w:t>
      </w:r>
    </w:p>
    <w:p>
      <w:pPr>
        <w:pStyle w:val="ListParagraph"/>
        <w:numPr>
          <w:ilvl w:val="0"/>
          <w:numId w:val="2"/>
        </w:numPr>
        <w:spacing w:after="90" w:line="260"/>
      </w:pPr>
      <w:r>
        <w:rPr>
          <w:sz w:val="21"/>
          <w:szCs w:val="21"/>
        </w:rPr>
        <w:t xml:space="preserve">NaN never propagates into results.</w:t>
      </w:r>
    </w:p>
    <w:p>
      <w:pPr>
        <w:pStyle w:val="ListParagraph"/>
        <w:numPr>
          <w:ilvl w:val="0"/>
          <w:numId w:val="2"/>
        </w:numPr>
        <w:spacing w:after="90" w:line="260"/>
      </w:pPr>
      <w:r>
        <w:rPr>
          <w:sz w:val="21"/>
          <w:szCs w:val="21"/>
        </w:rPr>
        <w:t xml:space="preserve">The “limiting gene” (weakest of the three) is correctly identified.</w:t>
      </w:r>
    </w:p>
    <w:p>
      <w:pPr>
        <w:pStyle w:val="ListParagraph"/>
        <w:numPr>
          <w:ilvl w:val="0"/>
          <w:numId w:val="2"/>
        </w:numPr>
        <w:spacing w:after="90" w:line="260"/>
      </w:pPr>
      <w:r>
        <w:rPr>
          <w:sz w:val="21"/>
          <w:szCs w:val="21"/>
        </w:rPr>
        <w:t xml:space="preserve">Concurrent triplet queries (ThreadPoolExecutor) return independent, correct results.</w:t>
      </w:r>
    </w:p>
    <w:p>
      <w:pPr>
        <w:pStyle w:val="ListParagraph"/>
        <w:numPr>
          <w:ilvl w:val="0"/>
          <w:numId w:val="2"/>
        </w:numPr>
        <w:spacing w:after="90" w:line="260"/>
      </w:pPr>
      <w:r>
        <w:rPr>
          <w:sz w:val="21"/>
          <w:szCs w:val="21"/>
        </w:rPr>
        <w:t xml:space="preserve">The join is verified to be an inner join — only lines scored for all three genes appear.</w:t>
      </w:r>
    </w:p>
    <w:p>
      <w:r>
        <w:br w:type="page"/>
      </w:r>
    </w:p>
    <w:p>
      <w:pPr>
        <w:pStyle w:val="Heading1"/>
        <w:spacing w:after="200" w:before="480"/>
      </w:pPr>
      <w:r>
        <w:rPr>
          <w:b/>
          <w:bCs/>
          <w:color w:val="1F2937"/>
          <w:sz w:val="30"/>
          <w:szCs w:val="30"/>
        </w:rPr>
        <w:t xml:space="preserve">6. Logging and run provenance</w:t>
      </w:r>
    </w:p>
    <w:p>
      <w:pPr>
        <w:spacing w:after="160" w:line="276"/>
      </w:pPr>
      <w:r>
        <w:rPr>
          <w:rFonts w:ascii="Consolas" w:cs="Consolas" w:eastAsia="Consolas" w:hAnsi="Consolas"/>
          <w:color w:val="6B7280"/>
          <w:sz w:val="19"/>
          <w:szCs w:val="19"/>
        </w:rPr>
        <w:t xml:space="preserve">final_pipeline/01_Transcriptomics/logging_utils.py</w:t>
      </w:r>
    </w:p>
    <w:p>
      <w:pPr>
        <w:spacing w:after="160" w:line="276"/>
      </w:pPr>
      <w:r>
        <w:rPr>
          <w:sz w:val="21"/>
          <w:szCs w:val="21"/>
        </w:rPr>
        <w:t xml:space="preserve">get_logger(name) writes INFO+ to console and WARNING+ to logs/pipeline_&lt;date&gt;.log; log_file_error()/log_error() emit structured lines (step, file, folder, extension, path, error type/message, full traceback) so failures during cleaning or scoring are traceable without reproduction. All pipeline scripts sharing this module funnel into the same day’s log file.</w:t>
      </w:r>
    </w:p>
    <w:p>
      <w:pPr>
        <w:spacing w:after="160" w:line="276"/>
      </w:pPr>
      <w:r>
        <w:rPr>
          <w:sz w:val="21"/>
          <w:szCs w:val="21"/>
        </w:rPr>
        <w:t xml:space="preserve">Checked on disk: logs/pipeline_2026-08-24.log, logs/pipeline_2026-08-25.log, and final_pipeline/logs/pipeline_2026-08-24.log are all 0 bytes — loggers were instantiated during pipeline runs on both dates but no warning-or-above event was ever recorded, i.e. no logged failures during whatever stages ran on 24–25 August 2026. This is an absence-of-errors signal, not a full run history, since INFO-level output only goes to console by design.</w:t>
      </w:r>
    </w:p>
    <w:p>
      <w:r>
        <w:br w:type="page"/>
      </w:r>
    </w:p>
    <w:p>
      <w:pPr>
        <w:pStyle w:val="Heading1"/>
        <w:spacing w:after="200" w:before="480"/>
      </w:pPr>
      <w:r>
        <w:rPr>
          <w:b/>
          <w:bCs/>
          <w:color w:val="1F2937"/>
          <w:sz w:val="30"/>
          <w:szCs w:val="30"/>
        </w:rPr>
        <w:t xml:space="preserve">7. Summary of key findings</w:t>
      </w:r>
    </w:p>
    <w:p>
      <w:pPr>
        <w:pStyle w:val="ListParagraph"/>
        <w:numPr>
          <w:ilvl w:val="0"/>
          <w:numId w:val="2"/>
        </w:numPr>
        <w:spacing w:after="90" w:line="260"/>
      </w:pPr>
      <w:r>
        <w:rPr>
          <w:b/>
          <w:bCs/>
          <w:i w:val="false"/>
          <w:iCs w:val="false"/>
          <w:sz w:val="21"/>
          <w:szCs w:val="21"/>
        </w:rPr>
        <w:t xml:space="preserve">Transcriptomics: </w:t>
      </w:r>
      <w:r>
        <w:rPr>
          <w:b w:val="false"/>
          <w:bCs w:val="false"/>
          <w:i w:val="false"/>
          <w:iCs w:val="false"/>
          <w:sz w:val="21"/>
          <w:szCs w:val="21"/>
        </w:rPr>
        <w:t xml:space="preserve">parameter set chosen by 480-combination grid search validated on held-out cross-source rank concordance (1-SE rule); caching implementation independently verified bit-identical to the reference implementation after catching and fixing a non-deterministic-ordering bug.</w:t>
      </w:r>
    </w:p>
    <w:p>
      <w:pPr>
        <w:pStyle w:val="ListParagraph"/>
        <w:numPr>
          <w:ilvl w:val="0"/>
          <w:numId w:val="2"/>
        </w:numPr>
        <w:spacing w:after="90" w:line="260"/>
      </w:pPr>
      <w:r>
        <w:rPr>
          <w:b/>
          <w:bCs/>
          <w:i w:val="false"/>
          <w:iCs w:val="false"/>
          <w:sz w:val="21"/>
          <w:szCs w:val="21"/>
        </w:rPr>
        <w:t xml:space="preserve">Proteomics: </w:t>
      </w:r>
      <w:r>
        <w:rPr>
          <w:b w:val="false"/>
          <w:bCs w:val="false"/>
          <w:i w:val="false"/>
          <w:iCs w:val="false"/>
          <w:sz w:val="21"/>
          <w:szCs w:val="21"/>
        </w:rPr>
        <w:t xml:space="preserve">cross-platform concordance (ρ ≈ 0.37 median) confirms ProCAN/CCLE tiering reflects real biological agreement; all M2 scoring thresholds are derived from null/matched permutation distributions rather than hand-picked, and a MIN_PEERS guard was added after diagnosing a real regression (spurious extreme z-scores from under-observed columns).</w:t>
      </w:r>
    </w:p>
    <w:p>
      <w:pPr>
        <w:pStyle w:val="ListParagraph"/>
        <w:numPr>
          <w:ilvl w:val="0"/>
          <w:numId w:val="2"/>
        </w:numPr>
        <w:spacing w:after="90" w:line="260"/>
      </w:pPr>
      <w:r>
        <w:rPr>
          <w:b/>
          <w:bCs/>
          <w:i w:val="false"/>
          <w:iCs w:val="false"/>
          <w:sz w:val="21"/>
          <w:szCs w:val="21"/>
        </w:rPr>
        <w:t xml:space="preserve">Warehouse: </w:t>
      </w:r>
      <w:r>
        <w:rPr>
          <w:b w:val="false"/>
          <w:bCs w:val="false"/>
          <w:i w:val="false"/>
          <w:iCs w:val="false"/>
          <w:sz w:val="21"/>
          <w:szCs w:val="21"/>
        </w:rPr>
        <w:t xml:space="preserve">a full read-only species-contamination and schema-enrichment audit surfaced 3 species-like columns and produced manual cell-line misclassification review artifacts (e.g. a mislabelled melanoma/fibroblast line).</w:t>
      </w:r>
    </w:p>
    <w:p>
      <w:pPr>
        <w:pStyle w:val="ListParagraph"/>
        <w:numPr>
          <w:ilvl w:val="0"/>
          <w:numId w:val="2"/>
        </w:numPr>
        <w:spacing w:after="90" w:line="260"/>
      </w:pPr>
      <w:r>
        <w:rPr>
          <w:b/>
          <w:bCs/>
          <w:i w:val="false"/>
          <w:iCs w:val="false"/>
          <w:sz w:val="21"/>
          <w:szCs w:val="21"/>
        </w:rPr>
        <w:t xml:space="preserve">Gate audit: </w:t>
      </w:r>
      <w:r>
        <w:rPr>
          <w:b w:val="false"/>
          <w:bCs w:val="false"/>
          <w:i w:val="false"/>
          <w:iCs w:val="false"/>
          <w:sz w:val="21"/>
          <w:szCs w:val="21"/>
        </w:rPr>
        <w:t xml:space="preserve">the most significant result in this body of work — a 10-part statistical re-audit found that the originally reported 16.8% CRISPR-dependency depletion effect was 98% reproducible with randomised labels (a denominator-construction artifact from unscreened lines defaulting to “negative”), and that the nominal p-value was inflated ≈170,000× by ignoring lineage clustering. After correction, a much narrower, CRISPR-specific effect survives (&lt;5% prevalence, ≈20–29% depletion), which itself does not replicate under RNAi — pointing to a copy-number/cutting-toxicity artifact as the likely explanation, flagged as the next open question.</w:t>
      </w:r>
    </w:p>
    <w:p>
      <w:pPr>
        <w:pStyle w:val="ListParagraph"/>
        <w:numPr>
          <w:ilvl w:val="0"/>
          <w:numId w:val="2"/>
        </w:numPr>
        <w:spacing w:after="90" w:line="260"/>
      </w:pPr>
      <w:r>
        <w:rPr>
          <w:b/>
          <w:bCs/>
          <w:i w:val="false"/>
          <w:iCs w:val="false"/>
          <w:sz w:val="21"/>
          <w:szCs w:val="21"/>
        </w:rPr>
        <w:t xml:space="preserve">Test coverage: </w:t>
      </w:r>
      <w:r>
        <w:rPr>
          <w:b w:val="false"/>
          <w:bCs w:val="false"/>
          <w:i w:val="false"/>
          <w:iCs w:val="false"/>
          <w:sz w:val="21"/>
          <w:szCs w:val="21"/>
        </w:rPr>
        <w:t xml:space="preserve">beyond ad hoc validation scripts, the pipeline has a PASS/WARN/FAIL diagnostic suite, a held-out ranking evaluation against independent drug-sensitivity ground truth, a manual biological sanity panel, and an executed pytest suite covering multi-gene join logic.</w:t>
      </w:r>
    </w:p>
    <w:p>
      <w:pPr>
        <w:spacing w:after="300"/>
      </w:pPr>
    </w:p>
    <w:p>
      <w:pPr>
        <w:pBdr>
          <w:top w:val="single" w:color="D1D5DB" w:sz="4" w:space="8"/>
        </w:pBdr>
      </w:pPr>
      <w:r>
        <w:rPr>
          <w:i/>
          <w:iCs/>
          <w:color w:val="6B7280"/>
          <w:sz w:val="17"/>
          <w:szCs w:val="17"/>
        </w:rPr>
        <w:t xml:space="preserve">Generated from a survey of final_pipeline/ and gate_audit/ on 2026-08-25.</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2026-08-25T11:06:26.075Z</dcterms:created>
  <dcterms:modified xsi:type="dcterms:W3CDTF">2026-08-25T11:06:26.078Z</dcterms:modified>
</cp:coreProperties>
</file>

<file path=docProps/custom.xml><?xml version="1.0" encoding="utf-8"?>
<Properties xmlns="http://schemas.openxmlformats.org/officeDocument/2006/custom-properties" xmlns:vt="http://schemas.openxmlformats.org/officeDocument/2006/docPropsVTypes"/>
</file>