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32E7BA0" w:rsidP="3EBD4873" w:rsidRDefault="332E7BA0" w14:paraId="0529079E" w14:textId="2AE52C8D">
      <w:pPr>
        <w:shd w:val="clear" w:color="auto" w:fill="FFFFFF" w:themeFill="background1"/>
        <w:rPr>
          <w:rFonts w:ascii="Times New Roman" w:hAnsi="Times New Roman" w:cs="Times New Roman"/>
          <w:b/>
          <w:bCs/>
          <w:sz w:val="36"/>
          <w:szCs w:val="36"/>
        </w:rPr>
      </w:pPr>
      <w:r w:rsidRPr="3EBD4873">
        <w:rPr>
          <w:rFonts w:ascii="Times New Roman" w:hAnsi="Times New Roman" w:cs="Times New Roman"/>
          <w:b/>
          <w:bCs/>
          <w:sz w:val="32"/>
          <w:szCs w:val="32"/>
        </w:rPr>
        <w:t>Task 1</w:t>
      </w:r>
    </w:p>
    <w:p w:rsidR="3EBD4873" w:rsidP="3EBD4873" w:rsidRDefault="40FD679C" w14:paraId="0EE723C5" w14:textId="61B82775">
      <w:pPr>
        <w:shd w:val="clear" w:color="auto" w:fill="FFFFFF" w:themeFill="background1"/>
        <w:rPr>
          <w:rFonts w:ascii="Times New Roman" w:hAnsi="Times New Roman" w:cs="Times New Roman"/>
          <w:b/>
        </w:rPr>
      </w:pPr>
      <w:proofErr w:type="spellStart"/>
      <w:r w:rsidRPr="6F10C76A">
        <w:rPr>
          <w:rFonts w:ascii="Times New Roman" w:hAnsi="Times New Roman" w:cs="Times New Roman"/>
          <w:b/>
          <w:bCs/>
        </w:rPr>
        <w:t>Coloums</w:t>
      </w:r>
      <w:proofErr w:type="spellEnd"/>
      <w:r w:rsidRPr="6F10C76A">
        <w:rPr>
          <w:rFonts w:ascii="Times New Roman" w:hAnsi="Times New Roman" w:cs="Times New Roman"/>
          <w:b/>
          <w:bCs/>
        </w:rPr>
        <w:t xml:space="preserve"> selection</w:t>
      </w:r>
    </w:p>
    <w:p w:rsidR="469262AF" w:rsidP="3FF04A76" w:rsidRDefault="469262AF" w14:paraId="42189951" w14:textId="4065BB82">
      <w:pPr>
        <w:shd w:val="clear" w:color="auto" w:fill="FFFFFF" w:themeFill="background1"/>
        <w:rPr>
          <w:rFonts w:ascii="Times New Roman" w:hAnsi="Times New Roman" w:cs="Times New Roman"/>
        </w:rPr>
      </w:pPr>
      <w:r w:rsidRPr="3FF04A76">
        <w:t xml:space="preserve">According to </w:t>
      </w:r>
      <w:hyperlink r:id="rId8">
        <w:r w:rsidRPr="3FF04A76">
          <w:t>Ido Springer</w:t>
        </w:r>
      </w:hyperlink>
      <w:r w:rsidRPr="3FF04A76">
        <w:t xml:space="preserve">, </w:t>
      </w:r>
      <w:hyperlink r:id="rId9">
        <w:r w:rsidRPr="3FF04A76">
          <w:t>Nili Tickotsky</w:t>
        </w:r>
      </w:hyperlink>
      <w:r w:rsidRPr="3FF04A76">
        <w:t xml:space="preserve">, </w:t>
      </w:r>
      <w:hyperlink r:id="rId10">
        <w:r w:rsidRPr="3FF04A76">
          <w:t>Yoram Louzoun</w:t>
        </w:r>
      </w:hyperlink>
      <w:r w:rsidRPr="3FF04A76">
        <w:t xml:space="preserve"> </w:t>
      </w:r>
      <w:r w:rsidRPr="3FF04A76" w:rsidR="5FA2B10E">
        <w:t>in 2021, who discussed ERGO-II, a model that assesses the contribution of T Cell Receptor (TCR) α and β CDR3 sequences to peptide binding prediction. It highlights that for most peptides, the β chain CDR3 sequence contributes most significantly to binding prediction accuracy, followed by the β chain V and J genes, and then the α chain. The MHC allele is noted as the least contributing component. This signifies the crucial role of the β chain CDR3 in the interaction, with additional contributions from other components enhancing prediction accuracy.</w:t>
      </w:r>
    </w:p>
    <w:p w:rsidR="3FF04A76" w:rsidP="3FF04A76" w:rsidRDefault="3FF04A76" w14:paraId="51EAB034" w14:textId="5C3D0966">
      <w:pPr>
        <w:shd w:val="clear" w:color="auto" w:fill="FFFFFF" w:themeFill="background1"/>
      </w:pPr>
    </w:p>
    <w:p w:rsidR="3DF10B4C" w:rsidP="3FF04A76" w:rsidRDefault="3DF10B4C" w14:paraId="43DDD0EA" w14:textId="329FB386">
      <w:pPr>
        <w:shd w:val="clear" w:color="auto" w:fill="FFFFFF" w:themeFill="background1"/>
      </w:pPr>
      <w:r w:rsidRPr="3FF04A76">
        <w:t xml:space="preserve">T lymphocytes (T cells) play a crucial role in cellular immune responses as they can recognize characteristic antigen peptides bound to the Major Histocompatibility Complex (MHC). This recognition is controlled by the T cell receptor (TCR) dimer. In the TCRβ chain, the Complementarity-Determining Region (CDR) 1 loop and CDR2 loop contact the MHC (α-helix), while the highly variable CDR3 region primarily interacts with the peptide. The CDR3 regions in both TCRα and TCRβ chains exhibit the highest sequence diversity, which is a key determinant of receptor binding specificity. CDR1 and CDR2 are determined by the V gene used in the TCR, whereas CDR3 is determined by the recombination of V (to </w:t>
      </w:r>
      <w:proofErr w:type="spellStart"/>
      <w:r w:rsidRPr="3FF04A76">
        <w:t>D in</w:t>
      </w:r>
      <w:proofErr w:type="spellEnd"/>
      <w:r w:rsidRPr="3FF04A76">
        <w:t xml:space="preserve"> TCRβ), J, and the addition or deletion of nucleotides at the V(D)J junction (in the α chain, V to J).</w:t>
      </w:r>
    </w:p>
    <w:p w:rsidR="3FF04A76" w:rsidP="3FF04A76" w:rsidRDefault="3FF04A76" w14:paraId="73290E3F" w14:textId="121A263F">
      <w:pPr>
        <w:shd w:val="clear" w:color="auto" w:fill="FFFFFF" w:themeFill="background1"/>
      </w:pPr>
    </w:p>
    <w:p w:rsidR="6B72141A" w:rsidP="3EBD4873" w:rsidRDefault="332E7BA0" w14:paraId="60E7DAE9" w14:textId="4DD1078D">
      <w:pPr>
        <w:shd w:val="clear" w:color="auto" w:fill="FFFFFF" w:themeFill="background1"/>
        <w:rPr>
          <w:rFonts w:ascii="Times New Roman" w:hAnsi="Times New Roman" w:cs="Times New Roman"/>
          <w:b/>
          <w:bCs/>
          <w:sz w:val="36"/>
          <w:szCs w:val="36"/>
        </w:rPr>
      </w:pPr>
      <w:r w:rsidRPr="3EBD4873">
        <w:rPr>
          <w:rFonts w:ascii="Times New Roman" w:hAnsi="Times New Roman" w:cs="Times New Roman"/>
          <w:b/>
          <w:bCs/>
          <w:sz w:val="32"/>
          <w:szCs w:val="32"/>
        </w:rPr>
        <w:t>Task 2</w:t>
      </w:r>
    </w:p>
    <w:p w:rsidRPr="00C63AD9" w:rsidR="00F8127D" w:rsidP="1999FC3C" w:rsidRDefault="00F41770" w14:paraId="5781F054" w14:textId="6D215B25">
      <w:pPr>
        <w:shd w:val="clear" w:color="auto" w:fill="FFFFFF" w:themeFill="background1"/>
        <w:rPr>
          <w:rFonts w:ascii="Times New Roman" w:hAnsi="Times New Roman" w:cs="Times New Roman"/>
          <w:b/>
          <w:bCs/>
        </w:rPr>
      </w:pPr>
      <w:bookmarkStart w:name="_Int_9KUnVpdy" w:id="0"/>
      <w:r w:rsidRPr="6704FF7E">
        <w:rPr>
          <w:rFonts w:hint="eastAsia" w:ascii="Times New Roman" w:hAnsi="Times New Roman" w:cs="Times New Roman"/>
          <w:b/>
          <w:bCs/>
        </w:rPr>
        <w:t>O</w:t>
      </w:r>
      <w:r w:rsidRPr="6704FF7E" w:rsidR="00795853">
        <w:rPr>
          <w:rFonts w:ascii="Times New Roman" w:hAnsi="Times New Roman" w:cs="Times New Roman"/>
          <w:b/>
          <w:bCs/>
        </w:rPr>
        <w:t>ne-hot encoding</w:t>
      </w:r>
      <w:bookmarkEnd w:id="0"/>
    </w:p>
    <w:p w:rsidRPr="008A22E1" w:rsidR="00795853" w:rsidP="6704FF7E" w:rsidRDefault="00795853" w14:paraId="7A129CE8" w14:textId="4376D5B1">
      <w:pPr>
        <w:shd w:val="clear" w:color="auto" w:fill="FFFFFF" w:themeFill="background1"/>
        <w:rPr>
          <w:rFonts w:ascii="Times New Roman" w:hAnsi="Times New Roman" w:cs="Times New Roman"/>
        </w:rPr>
      </w:pPr>
      <w:r w:rsidRPr="6704FF7E">
        <w:rPr>
          <w:rFonts w:ascii="Times New Roman" w:hAnsi="Times New Roman" w:cs="Times New Roman"/>
        </w:rPr>
        <w:t xml:space="preserve">One-hot encoding is a widely used approach </w:t>
      </w:r>
      <w:r w:rsidRPr="6704FF7E" w:rsidR="00124D7F">
        <w:rPr>
          <w:rFonts w:ascii="Times New Roman" w:hAnsi="Times New Roman" w:cs="Times New Roman"/>
        </w:rPr>
        <w:t>that is appl</w:t>
      </w:r>
      <w:r w:rsidRPr="6704FF7E" w:rsidR="00EE0091">
        <w:rPr>
          <w:rFonts w:ascii="Times New Roman" w:hAnsi="Times New Roman" w:cs="Times New Roman"/>
        </w:rPr>
        <w:t>ied</w:t>
      </w:r>
      <w:r w:rsidRPr="6704FF7E" w:rsidR="00124D7F">
        <w:rPr>
          <w:rFonts w:ascii="Times New Roman" w:hAnsi="Times New Roman" w:cs="Times New Roman"/>
        </w:rPr>
        <w:t xml:space="preserve"> to categorical variables. It turn</w:t>
      </w:r>
      <w:r w:rsidRPr="6704FF7E" w:rsidR="002E5187">
        <w:rPr>
          <w:rFonts w:ascii="Times New Roman" w:hAnsi="Times New Roman" w:cs="Times New Roman"/>
        </w:rPr>
        <w:t>s</w:t>
      </w:r>
      <w:r w:rsidRPr="6704FF7E" w:rsidR="00124D7F">
        <w:rPr>
          <w:rFonts w:ascii="Times New Roman" w:hAnsi="Times New Roman" w:cs="Times New Roman"/>
        </w:rPr>
        <w:t xml:space="preserve"> every category into</w:t>
      </w:r>
      <w:r w:rsidRPr="6704FF7E" w:rsidR="002E5187">
        <w:rPr>
          <w:rFonts w:ascii="Times New Roman" w:hAnsi="Times New Roman" w:cs="Times New Roman"/>
        </w:rPr>
        <w:t xml:space="preserve"> a</w:t>
      </w:r>
      <w:r w:rsidRPr="6704FF7E" w:rsidR="00124D7F">
        <w:rPr>
          <w:rFonts w:ascii="Times New Roman" w:hAnsi="Times New Roman" w:cs="Times New Roman"/>
        </w:rPr>
        <w:t xml:space="preserve"> </w:t>
      </w:r>
      <w:r w:rsidRPr="6704FF7E" w:rsidR="009B457F">
        <w:rPr>
          <w:rFonts w:ascii="Times New Roman" w:hAnsi="Times New Roman" w:cs="Times New Roman"/>
        </w:rPr>
        <w:t>binary vector re</w:t>
      </w:r>
      <w:r w:rsidRPr="6704FF7E" w:rsidR="008B1AC2">
        <w:rPr>
          <w:rFonts w:ascii="Times New Roman" w:hAnsi="Times New Roman" w:cs="Times New Roman"/>
        </w:rPr>
        <w:t>presentation</w:t>
      </w:r>
      <w:r w:rsidRPr="6704FF7E" w:rsidR="00A439C6">
        <w:rPr>
          <w:rFonts w:ascii="Times New Roman" w:hAnsi="Times New Roman" w:cs="Times New Roman"/>
        </w:rPr>
        <w:t xml:space="preserve">. </w:t>
      </w:r>
      <w:bookmarkStart w:name="_Int_jM4v0NqQ" w:id="1"/>
      <w:r w:rsidRPr="6704FF7E" w:rsidR="00A439C6">
        <w:rPr>
          <w:rFonts w:ascii="Times New Roman" w:hAnsi="Times New Roman" w:cs="Times New Roman"/>
        </w:rPr>
        <w:t>And only one element is “hot”</w:t>
      </w:r>
      <w:r w:rsidRPr="6704FF7E" w:rsidR="004B3F64">
        <w:rPr>
          <w:rFonts w:ascii="Times New Roman" w:hAnsi="Times New Roman" w:cs="Times New Roman"/>
        </w:rPr>
        <w:t>, and the rest are “cold”.</w:t>
      </w:r>
      <w:bookmarkEnd w:id="1"/>
      <w:r w:rsidRPr="6704FF7E" w:rsidR="004B3F64">
        <w:rPr>
          <w:rFonts w:ascii="Times New Roman" w:hAnsi="Times New Roman" w:cs="Times New Roman"/>
        </w:rPr>
        <w:t xml:space="preserve"> For example,</w:t>
      </w:r>
      <w:r w:rsidRPr="6704FF7E" w:rsidR="00D65389">
        <w:rPr>
          <w:rFonts w:ascii="Times New Roman" w:hAnsi="Times New Roman" w:cs="Times New Roman"/>
        </w:rPr>
        <w:t xml:space="preserve"> </w:t>
      </w:r>
      <w:r w:rsidRPr="6704FF7E" w:rsidR="002E5187">
        <w:rPr>
          <w:rFonts w:ascii="Times New Roman" w:hAnsi="Times New Roman" w:cs="Times New Roman"/>
        </w:rPr>
        <w:t>if</w:t>
      </w:r>
      <w:r w:rsidRPr="6704FF7E" w:rsidR="00D65389">
        <w:rPr>
          <w:rFonts w:ascii="Times New Roman" w:hAnsi="Times New Roman" w:cs="Times New Roman"/>
        </w:rPr>
        <w:t xml:space="preserve"> a </w:t>
      </w:r>
      <w:r w:rsidRPr="6704FF7E" w:rsidR="00E94B50">
        <w:rPr>
          <w:rFonts w:ascii="Times New Roman" w:hAnsi="Times New Roman" w:cs="Times New Roman"/>
        </w:rPr>
        <w:t>feature</w:t>
      </w:r>
      <w:r w:rsidRPr="6704FF7E" w:rsidR="00D65389">
        <w:rPr>
          <w:rFonts w:ascii="Times New Roman" w:hAnsi="Times New Roman" w:cs="Times New Roman"/>
        </w:rPr>
        <w:t xml:space="preserve"> contains categories </w:t>
      </w:r>
      <w:r w:rsidRPr="6704FF7E" w:rsidR="00B06E8F">
        <w:rPr>
          <w:rFonts w:ascii="Times New Roman" w:hAnsi="Times New Roman" w:cs="Times New Roman"/>
        </w:rPr>
        <w:t xml:space="preserve">such as “red”, “blue” and “green”. One-hot encoding </w:t>
      </w:r>
      <w:r w:rsidRPr="6704FF7E" w:rsidR="001A3202">
        <w:rPr>
          <w:rFonts w:ascii="Times New Roman" w:hAnsi="Times New Roman" w:cs="Times New Roman"/>
        </w:rPr>
        <w:t xml:space="preserve">would create 3 binary columns, each column representing </w:t>
      </w:r>
      <w:r w:rsidRPr="6704FF7E" w:rsidR="002569DC">
        <w:rPr>
          <w:rFonts w:ascii="Times New Roman" w:hAnsi="Times New Roman" w:cs="Times New Roman"/>
        </w:rPr>
        <w:t>one specific colo</w:t>
      </w:r>
      <w:r w:rsidRPr="6704FF7E" w:rsidR="0096292B">
        <w:rPr>
          <w:rFonts w:ascii="Times New Roman" w:hAnsi="Times New Roman" w:cs="Times New Roman"/>
        </w:rPr>
        <w:t>u</w:t>
      </w:r>
      <w:r w:rsidRPr="6704FF7E" w:rsidR="002569DC">
        <w:rPr>
          <w:rFonts w:ascii="Times New Roman" w:hAnsi="Times New Roman" w:cs="Times New Roman"/>
        </w:rPr>
        <w:t>r. If an instance corresponds to the colo</w:t>
      </w:r>
      <w:r w:rsidRPr="6704FF7E" w:rsidR="00F02712">
        <w:rPr>
          <w:rFonts w:ascii="Times New Roman" w:hAnsi="Times New Roman" w:cs="Times New Roman"/>
        </w:rPr>
        <w:t>u</w:t>
      </w:r>
      <w:r w:rsidRPr="6704FF7E" w:rsidR="002569DC">
        <w:rPr>
          <w:rFonts w:ascii="Times New Roman" w:hAnsi="Times New Roman" w:cs="Times New Roman"/>
        </w:rPr>
        <w:t>r “gree</w:t>
      </w:r>
      <w:r w:rsidRPr="6704FF7E" w:rsidR="00D83CA3">
        <w:rPr>
          <w:rFonts w:ascii="Times New Roman" w:hAnsi="Times New Roman" w:cs="Times New Roman"/>
        </w:rPr>
        <w:t>n</w:t>
      </w:r>
      <w:r w:rsidRPr="6704FF7E" w:rsidR="002569DC">
        <w:rPr>
          <w:rFonts w:ascii="Times New Roman" w:hAnsi="Times New Roman" w:cs="Times New Roman"/>
        </w:rPr>
        <w:t>”</w:t>
      </w:r>
      <w:r w:rsidRPr="6704FF7E" w:rsidR="00D83CA3">
        <w:rPr>
          <w:rFonts w:ascii="Times New Roman" w:hAnsi="Times New Roman" w:cs="Times New Roman"/>
        </w:rPr>
        <w:t>, its vector would be [0, 1, 0].</w:t>
      </w:r>
    </w:p>
    <w:p w:rsidRPr="008A22E1" w:rsidR="00F4636D" w:rsidP="00F4636D" w:rsidRDefault="66137AE0" w14:paraId="01B85688" w14:textId="1347E651">
      <w:pPr>
        <w:shd w:val="clear" w:color="auto" w:fill="FFFFFF" w:themeFill="background1"/>
        <w:rPr>
          <w:rFonts w:ascii="Times New Roman" w:hAnsi="Times New Roman" w:eastAsia="system-ui" w:cs="Times New Roman"/>
          <w:color w:val="0D0D0D" w:themeColor="text1" w:themeTint="F2"/>
        </w:rPr>
      </w:pPr>
      <w:r w:rsidRPr="008A22E1">
        <w:rPr>
          <w:rFonts w:ascii="Times New Roman" w:hAnsi="Times New Roman" w:eastAsia="system-ui" w:cs="Times New Roman"/>
          <w:color w:val="0D0D0D" w:themeColor="text1" w:themeTint="F2"/>
        </w:rPr>
        <w:t xml:space="preserve">The limitations of using one-hot encoding </w:t>
      </w:r>
      <w:proofErr w:type="gramStart"/>
      <w:r w:rsidRPr="008A22E1" w:rsidR="00F44F7C">
        <w:rPr>
          <w:rFonts w:ascii="Times New Roman" w:hAnsi="Times New Roman" w:eastAsia="system-ui" w:cs="Times New Roman"/>
          <w:color w:val="0D0D0D" w:themeColor="text1" w:themeTint="F2"/>
        </w:rPr>
        <w:t>is</w:t>
      </w:r>
      <w:proofErr w:type="gramEnd"/>
      <w:r w:rsidRPr="008A22E1" w:rsidR="00F44F7C">
        <w:rPr>
          <w:rFonts w:ascii="Times New Roman" w:hAnsi="Times New Roman" w:eastAsia="system-ui" w:cs="Times New Roman"/>
          <w:color w:val="0D0D0D" w:themeColor="text1" w:themeTint="F2"/>
        </w:rPr>
        <w:t xml:space="preserve"> apparent</w:t>
      </w:r>
      <w:r w:rsidR="002C4677">
        <w:rPr>
          <w:rFonts w:hint="eastAsia" w:ascii="宋体" w:hAnsi="宋体" w:eastAsia="宋体" w:cs="宋体"/>
          <w:color w:val="0D0D0D" w:themeColor="text1" w:themeTint="F2"/>
        </w:rPr>
        <w:t>:</w:t>
      </w:r>
    </w:p>
    <w:p w:rsidRPr="008A22E1" w:rsidR="00F8127D" w:rsidP="00F4636D" w:rsidRDefault="002C4677" w14:paraId="2301DAD1" w14:textId="4DCFA309">
      <w:pPr>
        <w:shd w:val="clear" w:color="auto" w:fill="FFFFFF" w:themeFill="background1"/>
        <w:rPr>
          <w:rFonts w:ascii="Times New Roman" w:hAnsi="Times New Roman" w:eastAsia="system-ui" w:cs="Times New Roman"/>
          <w:color w:val="0D0D0D" w:themeColor="text1" w:themeTint="F2"/>
        </w:rPr>
      </w:pPr>
      <w:r>
        <w:rPr>
          <w:rFonts w:ascii="Times New Roman" w:hAnsi="Times New Roman" w:eastAsia="system-ui" w:cs="Times New Roman"/>
          <w:b/>
          <w:bCs/>
          <w:color w:val="0D0D0D" w:themeColor="text1" w:themeTint="F2"/>
        </w:rPr>
        <w:t>1,</w:t>
      </w:r>
      <w:r w:rsidR="006D516B">
        <w:rPr>
          <w:rFonts w:ascii="Times New Roman" w:hAnsi="Times New Roman" w:eastAsia="system-ui" w:cs="Times New Roman"/>
          <w:b/>
          <w:bCs/>
          <w:color w:val="0D0D0D" w:themeColor="text1" w:themeTint="F2"/>
        </w:rPr>
        <w:t xml:space="preserve"> </w:t>
      </w:r>
      <w:r w:rsidR="00E8045B">
        <w:rPr>
          <w:rFonts w:ascii="Times New Roman" w:hAnsi="Times New Roman" w:eastAsia="system-ui" w:cs="Times New Roman"/>
          <w:b/>
          <w:bCs/>
          <w:color w:val="0D0D0D" w:themeColor="text1" w:themeTint="F2"/>
        </w:rPr>
        <w:t>D</w:t>
      </w:r>
      <w:r w:rsidRPr="00E8045B" w:rsidR="00E8045B">
        <w:rPr>
          <w:rFonts w:ascii="Times New Roman" w:hAnsi="Times New Roman" w:eastAsia="system-ui" w:cs="Times New Roman"/>
          <w:b/>
          <w:bCs/>
          <w:color w:val="0D0D0D" w:themeColor="text1" w:themeTint="F2"/>
        </w:rPr>
        <w:t xml:space="preserve">imensional </w:t>
      </w:r>
      <w:r w:rsidR="00E8045B">
        <w:rPr>
          <w:rFonts w:ascii="Times New Roman" w:hAnsi="Times New Roman" w:eastAsia="system-ui" w:cs="Times New Roman"/>
          <w:b/>
          <w:bCs/>
          <w:color w:val="0D0D0D" w:themeColor="text1" w:themeTint="F2"/>
        </w:rPr>
        <w:t>E</w:t>
      </w:r>
      <w:r w:rsidRPr="00E8045B" w:rsidR="00E8045B">
        <w:rPr>
          <w:rFonts w:ascii="Times New Roman" w:hAnsi="Times New Roman" w:eastAsia="system-ui" w:cs="Times New Roman"/>
          <w:b/>
          <w:bCs/>
          <w:color w:val="0D0D0D" w:themeColor="text1" w:themeTint="F2"/>
        </w:rPr>
        <w:t>xplosion</w:t>
      </w:r>
      <w:r w:rsidRPr="008A22E1" w:rsidR="66137AE0">
        <w:rPr>
          <w:rFonts w:ascii="Times New Roman" w:hAnsi="Times New Roman" w:eastAsia="system-ui" w:cs="Times New Roman"/>
          <w:color w:val="0D0D0D" w:themeColor="text1" w:themeTint="F2"/>
        </w:rPr>
        <w:t xml:space="preserve">: </w:t>
      </w:r>
      <w:r w:rsidRPr="000A2D59" w:rsidR="000A2D59">
        <w:rPr>
          <w:rFonts w:ascii="Times New Roman" w:hAnsi="Times New Roman" w:eastAsia="system-ui" w:cs="Times New Roman"/>
          <w:color w:val="0D0D0D" w:themeColor="text1" w:themeTint="F2"/>
        </w:rPr>
        <w:t xml:space="preserve">CDR3 is known for its high diversity, </w:t>
      </w:r>
      <w:r w:rsidR="002220BD">
        <w:rPr>
          <w:rFonts w:ascii="Times New Roman" w:hAnsi="Times New Roman" w:eastAsia="system-ui" w:cs="Times New Roman"/>
          <w:color w:val="0D0D0D" w:themeColor="text1" w:themeTint="F2"/>
        </w:rPr>
        <w:t>leading</w:t>
      </w:r>
      <w:r w:rsidRPr="000A2D59" w:rsidR="000A2D59">
        <w:rPr>
          <w:rFonts w:ascii="Times New Roman" w:hAnsi="Times New Roman" w:eastAsia="system-ui" w:cs="Times New Roman"/>
          <w:color w:val="0D0D0D" w:themeColor="text1" w:themeTint="F2"/>
        </w:rPr>
        <w:t xml:space="preserve"> to a huge potential sequence space.</w:t>
      </w:r>
      <w:r w:rsidR="00CE6716">
        <w:rPr>
          <w:rFonts w:ascii="Times New Roman" w:hAnsi="Times New Roman" w:eastAsia="system-ui" w:cs="Times New Roman"/>
          <w:color w:val="0D0D0D" w:themeColor="text1" w:themeTint="F2"/>
        </w:rPr>
        <w:t xml:space="preserve"> </w:t>
      </w:r>
      <w:r w:rsidR="00856F23">
        <w:rPr>
          <w:rFonts w:ascii="Times New Roman" w:hAnsi="Times New Roman" w:eastAsia="system-ui" w:cs="Times New Roman"/>
          <w:color w:val="0D0D0D" w:themeColor="text1" w:themeTint="F2"/>
        </w:rPr>
        <w:t>Using one-hot encoding means</w:t>
      </w:r>
      <w:r w:rsidR="009E3C20">
        <w:rPr>
          <w:rFonts w:ascii="Times New Roman" w:hAnsi="Times New Roman" w:eastAsia="system-ui" w:cs="Times New Roman"/>
          <w:color w:val="0D0D0D" w:themeColor="text1" w:themeTint="F2"/>
        </w:rPr>
        <w:t xml:space="preserve"> each amino acid position will become a separate feature</w:t>
      </w:r>
      <w:r w:rsidR="00EA7C28">
        <w:rPr>
          <w:rFonts w:ascii="Times New Roman" w:hAnsi="Times New Roman" w:eastAsia="system-ui" w:cs="Times New Roman"/>
          <w:color w:val="0D0D0D" w:themeColor="text1" w:themeTint="F2"/>
        </w:rPr>
        <w:t xml:space="preserve">. </w:t>
      </w:r>
      <w:r w:rsidRPr="00234AE0" w:rsidR="00234AE0">
        <w:rPr>
          <w:rFonts w:ascii="Times New Roman" w:hAnsi="Times New Roman" w:eastAsia="system-ui" w:cs="Times New Roman"/>
          <w:color w:val="0D0D0D" w:themeColor="text1" w:themeTint="F2"/>
        </w:rPr>
        <w:t>Moreover, one-hot coding may produce very sparse matrices, which may affect the performance of the model.</w:t>
      </w:r>
    </w:p>
    <w:p w:rsidRPr="008A22E1" w:rsidR="00F8127D" w:rsidP="00100B69" w:rsidRDefault="006D516B" w14:paraId="41A745E9" w14:textId="74E0BF1C">
      <w:pPr>
        <w:spacing w:after="0"/>
        <w:rPr>
          <w:rFonts w:ascii="Times New Roman" w:hAnsi="Times New Roman" w:eastAsia="system-ui" w:cs="Times New Roman"/>
          <w:color w:val="0D0D0D" w:themeColor="text1" w:themeTint="F2"/>
        </w:rPr>
      </w:pPr>
      <w:r>
        <w:rPr>
          <w:rFonts w:ascii="Times New Roman" w:hAnsi="Times New Roman" w:eastAsia="system-ui" w:cs="Times New Roman"/>
          <w:b/>
          <w:bCs/>
          <w:color w:val="0D0D0D" w:themeColor="text1" w:themeTint="F2"/>
        </w:rPr>
        <w:t xml:space="preserve">2, </w:t>
      </w:r>
      <w:r w:rsidRPr="008A22E1" w:rsidR="66137AE0">
        <w:rPr>
          <w:rFonts w:ascii="Times New Roman" w:hAnsi="Times New Roman" w:eastAsia="system-ui" w:cs="Times New Roman"/>
          <w:b/>
          <w:bCs/>
          <w:color w:val="0D0D0D" w:themeColor="text1" w:themeTint="F2"/>
        </w:rPr>
        <w:t>Loss of</w:t>
      </w:r>
      <w:r w:rsidRPr="008A22E1" w:rsidR="00562AD2">
        <w:rPr>
          <w:rFonts w:ascii="Times New Roman" w:hAnsi="Times New Roman" w:eastAsia="system-ui" w:cs="Times New Roman"/>
          <w:b/>
          <w:bCs/>
          <w:color w:val="0D0D0D" w:themeColor="text1" w:themeTint="F2"/>
        </w:rPr>
        <w:t xml:space="preserve"> Sequ</w:t>
      </w:r>
      <w:r w:rsidRPr="008A22E1" w:rsidR="00194968">
        <w:rPr>
          <w:rFonts w:ascii="Times New Roman" w:hAnsi="Times New Roman" w:eastAsia="system-ui" w:cs="Times New Roman"/>
          <w:b/>
          <w:bCs/>
          <w:color w:val="0D0D0D" w:themeColor="text1" w:themeTint="F2"/>
        </w:rPr>
        <w:t>ence</w:t>
      </w:r>
      <w:r w:rsidRPr="008A22E1" w:rsidR="66137AE0">
        <w:rPr>
          <w:rFonts w:ascii="Times New Roman" w:hAnsi="Times New Roman" w:eastAsia="system-ui" w:cs="Times New Roman"/>
          <w:b/>
          <w:bCs/>
          <w:color w:val="0D0D0D" w:themeColor="text1" w:themeTint="F2"/>
        </w:rPr>
        <w:t xml:space="preserve"> Information</w:t>
      </w:r>
      <w:r w:rsidRPr="008A22E1" w:rsidR="66137AE0">
        <w:rPr>
          <w:rFonts w:ascii="Times New Roman" w:hAnsi="Times New Roman" w:eastAsia="system-ui" w:cs="Times New Roman"/>
          <w:color w:val="0D0D0D" w:themeColor="text1" w:themeTint="F2"/>
        </w:rPr>
        <w:t xml:space="preserve">: </w:t>
      </w:r>
      <w:r w:rsidRPr="00B52FB8" w:rsidR="00B52FB8">
        <w:rPr>
          <w:rFonts w:ascii="Times New Roman" w:hAnsi="Times New Roman" w:eastAsia="system-ui" w:cs="Times New Roman"/>
          <w:color w:val="0D0D0D" w:themeColor="text1" w:themeTint="F2"/>
        </w:rPr>
        <w:t xml:space="preserve">One-hot </w:t>
      </w:r>
      <w:r w:rsidR="00015C0C">
        <w:rPr>
          <w:rFonts w:ascii="Times New Roman" w:hAnsi="Times New Roman" w:eastAsia="system-ui" w:cs="Times New Roman"/>
          <w:color w:val="0D0D0D" w:themeColor="text1" w:themeTint="F2"/>
        </w:rPr>
        <w:t>encoding represents</w:t>
      </w:r>
      <w:r w:rsidRPr="00B52FB8" w:rsidR="00B52FB8">
        <w:rPr>
          <w:rFonts w:ascii="Times New Roman" w:hAnsi="Times New Roman" w:eastAsia="system-ui" w:cs="Times New Roman"/>
          <w:color w:val="0D0D0D" w:themeColor="text1" w:themeTint="F2"/>
        </w:rPr>
        <w:t xml:space="preserve"> each amino acid as a separate, unrelated feature vector. This results in ignoring the interactions between amino acids and their positions in the sequence.</w:t>
      </w:r>
    </w:p>
    <w:p w:rsidR="00F8127D" w:rsidP="1999FC3C" w:rsidRDefault="00F8127D" w14:paraId="7BF041C7" w14:textId="793C08D5">
      <w:pPr>
        <w:rPr>
          <w:rFonts w:ascii="Times New Roman" w:hAnsi="Times New Roman" w:cs="Times New Roman"/>
        </w:rPr>
      </w:pPr>
    </w:p>
    <w:p w:rsidR="00574A50" w:rsidP="1999FC3C" w:rsidRDefault="00574A50" w14:paraId="502C35DB" w14:textId="44B94DBD">
      <w:pPr>
        <w:rPr>
          <w:rFonts w:ascii="Times New Roman" w:hAnsi="Times New Roman" w:cs="Times New Roman"/>
        </w:rPr>
      </w:pPr>
      <w:r w:rsidRPr="00574A50">
        <w:rPr>
          <w:rFonts w:ascii="Times New Roman" w:hAnsi="Times New Roman" w:cs="Times New Roman"/>
        </w:rPr>
        <w:t>In order to better address these issues, we have found the following two approaches</w:t>
      </w:r>
      <w:r w:rsidR="00BA38F9">
        <w:rPr>
          <w:rFonts w:ascii="Times New Roman" w:hAnsi="Times New Roman" w:cs="Times New Roman"/>
        </w:rPr>
        <w:t>:</w:t>
      </w:r>
    </w:p>
    <w:p w:rsidRPr="00F1594C" w:rsidR="00F1594C" w:rsidP="1999FC3C" w:rsidRDefault="00951B99" w14:paraId="17807FB0" w14:textId="50C87C76">
      <w:pPr>
        <w:rPr>
          <w:b/>
          <w:bCs/>
        </w:rPr>
      </w:pPr>
      <w:r w:rsidRPr="00F1594C">
        <w:rPr>
          <w:rFonts w:hint="eastAsia" w:ascii="Times New Roman" w:hAnsi="Times New Roman" w:cs="Times New Roman"/>
          <w:b/>
          <w:bCs/>
        </w:rPr>
        <w:lastRenderedPageBreak/>
        <w:t>K</w:t>
      </w:r>
      <w:r w:rsidRPr="00F1594C">
        <w:rPr>
          <w:rFonts w:ascii="Times New Roman" w:hAnsi="Times New Roman" w:cs="Times New Roman"/>
          <w:b/>
          <w:bCs/>
        </w:rPr>
        <w:t>-</w:t>
      </w:r>
      <w:proofErr w:type="spellStart"/>
      <w:r w:rsidRPr="00F1594C">
        <w:rPr>
          <w:rFonts w:ascii="Times New Roman" w:hAnsi="Times New Roman" w:cs="Times New Roman"/>
          <w:b/>
          <w:bCs/>
        </w:rPr>
        <w:t>mer</w:t>
      </w:r>
      <w:proofErr w:type="spellEnd"/>
      <w:r w:rsidRPr="00F1594C">
        <w:rPr>
          <w:rFonts w:ascii="Times New Roman" w:hAnsi="Times New Roman" w:cs="Times New Roman"/>
          <w:b/>
          <w:bCs/>
        </w:rPr>
        <w:t xml:space="preserve"> </w:t>
      </w:r>
      <w:r w:rsidR="00E86F8D">
        <w:rPr>
          <w:rFonts w:hint="eastAsia" w:ascii="Times New Roman" w:hAnsi="Times New Roman" w:cs="Times New Roman"/>
          <w:b/>
          <w:bCs/>
        </w:rPr>
        <w:t>counting</w:t>
      </w:r>
    </w:p>
    <w:p w:rsidR="6CBF58B1" w:rsidP="006D3620" w:rsidRDefault="00F1594C" w14:paraId="3BD703A5" w14:textId="3CABBF97">
      <w:pPr>
        <w:ind w:firstLine="440" w:firstLineChars="200"/>
        <w:rPr>
          <w:rFonts w:ascii="Times New Roman" w:hAnsi="Times New Roman" w:eastAsia="等线" w:cs="Times New Roman"/>
        </w:rPr>
      </w:pPr>
      <w:r w:rsidRPr="00F1594C">
        <w:rPr>
          <w:rFonts w:ascii="Times New Roman" w:hAnsi="Times New Roman" w:cs="Times New Roman"/>
        </w:rPr>
        <w:t>The k-</w:t>
      </w:r>
      <w:proofErr w:type="spellStart"/>
      <w:r w:rsidRPr="00F1594C">
        <w:rPr>
          <w:rFonts w:ascii="Times New Roman" w:hAnsi="Times New Roman" w:cs="Times New Roman"/>
        </w:rPr>
        <w:t>mer</w:t>
      </w:r>
      <w:proofErr w:type="spellEnd"/>
      <w:r w:rsidRPr="00F1594C">
        <w:rPr>
          <w:rFonts w:ascii="Times New Roman" w:hAnsi="Times New Roman" w:cs="Times New Roman"/>
        </w:rPr>
        <w:t xml:space="preserve"> algorithm is a widely used method in bioinformatics, especially in genome sequence analysis.</w:t>
      </w:r>
      <w:r w:rsidR="00075A1A">
        <w:rPr>
          <w:rFonts w:ascii="Times New Roman" w:hAnsi="Times New Roman" w:cs="Times New Roman"/>
        </w:rPr>
        <w:t xml:space="preserve"> </w:t>
      </w:r>
      <w:r w:rsidRPr="00075A1A" w:rsidR="00075A1A">
        <w:rPr>
          <w:rFonts w:ascii="Times New Roman" w:hAnsi="Times New Roman" w:cs="Times New Roman"/>
        </w:rPr>
        <w:t>Simply put, a k-</w:t>
      </w:r>
      <w:proofErr w:type="spellStart"/>
      <w:r w:rsidRPr="00075A1A" w:rsidR="00075A1A">
        <w:rPr>
          <w:rFonts w:ascii="Times New Roman" w:hAnsi="Times New Roman" w:cs="Times New Roman"/>
        </w:rPr>
        <w:t>mer</w:t>
      </w:r>
      <w:proofErr w:type="spellEnd"/>
      <w:r w:rsidRPr="00075A1A" w:rsidR="00075A1A">
        <w:rPr>
          <w:rFonts w:ascii="Times New Roman" w:hAnsi="Times New Roman" w:cs="Times New Roman"/>
        </w:rPr>
        <w:t xml:space="preserve"> is just a sequence of k characters in a string (or nucleotides in a DNA sequence)</w:t>
      </w:r>
      <w:r w:rsidR="00E27946">
        <w:rPr>
          <w:rFonts w:ascii="Times New Roman" w:hAnsi="Times New Roman" w:cs="Times New Roman"/>
        </w:rPr>
        <w:t xml:space="preserve"> </w:t>
      </w:r>
      <w:r w:rsidRPr="007E01B1" w:rsidR="007E01B1">
        <w:rPr>
          <w:rFonts w:ascii="Times New Roman" w:hAnsi="Times New Roman" w:cs="Times New Roman"/>
        </w:rPr>
        <w:t>(Clavijo, 2018)</w:t>
      </w:r>
      <w:r w:rsidR="007E01B1">
        <w:rPr>
          <w:rFonts w:ascii="Times New Roman" w:hAnsi="Times New Roman" w:eastAsia="等线" w:cs="Times New Roman"/>
        </w:rPr>
        <w:t>.</w:t>
      </w:r>
    </w:p>
    <w:p w:rsidR="001746DE" w:rsidP="006D3620" w:rsidRDefault="001746DE" w14:paraId="497BC581" w14:textId="290EED20">
      <w:pPr>
        <w:ind w:firstLine="440" w:firstLineChars="200"/>
        <w:rPr>
          <w:rFonts w:ascii="Times New Roman" w:hAnsi="Times New Roman" w:cs="Times New Roman"/>
        </w:rPr>
      </w:pPr>
      <w:r w:rsidRPr="001746DE">
        <w:rPr>
          <w:rFonts w:ascii="Times New Roman" w:hAnsi="Times New Roman" w:cs="Times New Roman"/>
        </w:rPr>
        <w:t>Decomposing the sequence into its k-</w:t>
      </w:r>
      <w:proofErr w:type="spellStart"/>
      <w:r w:rsidRPr="001746DE">
        <w:rPr>
          <w:rFonts w:ascii="Times New Roman" w:hAnsi="Times New Roman" w:cs="Times New Roman"/>
        </w:rPr>
        <w:t>mer</w:t>
      </w:r>
      <w:proofErr w:type="spellEnd"/>
      <w:r w:rsidRPr="001746DE">
        <w:rPr>
          <w:rFonts w:ascii="Times New Roman" w:hAnsi="Times New Roman" w:cs="Times New Roman"/>
        </w:rPr>
        <w:t xml:space="preserve"> for analysis allows this set of fixed-size chunks to be analysed instead of the sequence, which can be more efficient.</w:t>
      </w:r>
      <w:r w:rsidR="00D813EE">
        <w:rPr>
          <w:rFonts w:ascii="Times New Roman" w:hAnsi="Times New Roman" w:cs="Times New Roman"/>
        </w:rPr>
        <w:t xml:space="preserve"> </w:t>
      </w:r>
      <w:r w:rsidRPr="00D813EE" w:rsidR="00D813EE">
        <w:rPr>
          <w:rFonts w:ascii="Times New Roman" w:hAnsi="Times New Roman" w:cs="Times New Roman"/>
        </w:rPr>
        <w:t>K-</w:t>
      </w:r>
      <w:proofErr w:type="spellStart"/>
      <w:r w:rsidRPr="00D813EE" w:rsidR="00D813EE">
        <w:rPr>
          <w:rFonts w:ascii="Times New Roman" w:hAnsi="Times New Roman" w:cs="Times New Roman"/>
        </w:rPr>
        <w:t>mers</w:t>
      </w:r>
      <w:proofErr w:type="spellEnd"/>
      <w:r w:rsidRPr="00D813EE" w:rsidR="00D813EE">
        <w:rPr>
          <w:rFonts w:ascii="Times New Roman" w:hAnsi="Times New Roman" w:cs="Times New Roman"/>
        </w:rPr>
        <w:t xml:space="preserve"> are very useful in sequence matching (</w:t>
      </w:r>
      <w:r w:rsidR="00957EEF">
        <w:rPr>
          <w:rFonts w:hint="eastAsia" w:ascii="Times New Roman" w:hAnsi="Times New Roman" w:cs="Times New Roman"/>
        </w:rPr>
        <w:t>having</w:t>
      </w:r>
      <w:r w:rsidRPr="00D813EE" w:rsidR="00D813EE">
        <w:rPr>
          <w:rFonts w:ascii="Times New Roman" w:hAnsi="Times New Roman" w:cs="Times New Roman"/>
        </w:rPr>
        <w:t xml:space="preserve"> a rich history of string matching with n-grams)</w:t>
      </w:r>
      <w:r w:rsidR="0015198F">
        <w:rPr>
          <w:rFonts w:ascii="Times New Roman" w:hAnsi="Times New Roman" w:cs="Times New Roman"/>
        </w:rPr>
        <w:t>.</w:t>
      </w:r>
      <w:r w:rsidRPr="00D813EE" w:rsidR="00D813EE">
        <w:rPr>
          <w:rFonts w:ascii="Times New Roman" w:hAnsi="Times New Roman" w:cs="Times New Roman"/>
        </w:rPr>
        <w:t xml:space="preserve"> </w:t>
      </w:r>
      <w:r w:rsidR="0015198F">
        <w:rPr>
          <w:rFonts w:ascii="Times New Roman" w:hAnsi="Times New Roman" w:cs="Times New Roman"/>
        </w:rPr>
        <w:t>S</w:t>
      </w:r>
      <w:r w:rsidRPr="00D813EE" w:rsidR="00D813EE">
        <w:rPr>
          <w:rFonts w:ascii="Times New Roman" w:hAnsi="Times New Roman" w:cs="Times New Roman"/>
        </w:rPr>
        <w:t>et operations are faster and easier, and there are many off-the-shelf algorithms and techniques for using them</w:t>
      </w:r>
      <w:r w:rsidR="00E27946">
        <w:rPr>
          <w:rFonts w:ascii="Times New Roman" w:hAnsi="Times New Roman" w:cs="Times New Roman"/>
        </w:rPr>
        <w:t xml:space="preserve"> </w:t>
      </w:r>
      <w:r w:rsidRPr="00E27946" w:rsidR="00E27946">
        <w:rPr>
          <w:rFonts w:ascii="Times New Roman" w:hAnsi="Times New Roman" w:cs="Times New Roman"/>
        </w:rPr>
        <w:t>(Clavijo, 2018)</w:t>
      </w:r>
      <w:r w:rsidRPr="00D813EE" w:rsidR="00D813EE">
        <w:rPr>
          <w:rFonts w:ascii="Times New Roman" w:hAnsi="Times New Roman" w:cs="Times New Roman"/>
        </w:rPr>
        <w:t>.</w:t>
      </w:r>
    </w:p>
    <w:p w:rsidR="002A758F" w:rsidP="006D3620" w:rsidRDefault="002A758F" w14:paraId="674A5CE1" w14:textId="7F3D1FB4">
      <w:pPr>
        <w:ind w:firstLine="440" w:firstLineChars="200"/>
        <w:rPr>
          <w:rFonts w:ascii="Times New Roman" w:hAnsi="Times New Roman" w:cs="Times New Roman"/>
        </w:rPr>
      </w:pPr>
      <w:r w:rsidRPr="002A758F">
        <w:rPr>
          <w:rFonts w:ascii="Times New Roman" w:hAnsi="Times New Roman" w:cs="Times New Roman"/>
        </w:rPr>
        <w:t>Here is a simple example showing how the algorithm works</w:t>
      </w:r>
      <w:r w:rsidR="00035B30">
        <w:rPr>
          <w:rFonts w:hint="eastAsia" w:ascii="Times New Roman" w:hAnsi="Times New Roman" w:cs="Times New Roman"/>
        </w:rPr>
        <w:t>:</w:t>
      </w:r>
    </w:p>
    <w:p w:rsidRPr="006D3620" w:rsidR="002A758F" w:rsidP="006D3620" w:rsidRDefault="00A25793" w14:paraId="2AECF99F" w14:textId="45A60371">
      <w:pPr>
        <w:ind w:firstLine="440" w:firstLineChars="200"/>
        <w:rPr>
          <w:rFonts w:ascii="Times New Roman" w:hAnsi="Times New Roman" w:cs="Times New Roman"/>
        </w:rPr>
      </w:pPr>
      <w:r>
        <w:rPr>
          <w:noProof/>
        </w:rPr>
        <w:object w:dxaOrig="6492" w:dyaOrig="3396" w14:anchorId="1356708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01.5pt;height:151.5pt" o:ole="" type="#_x0000_t75">
            <v:imagedata o:title="" r:id="rId11"/>
          </v:shape>
          <o:OLEObject Type="Embed" ProgID="Visio.Drawing.15" ShapeID="_x0000_i1025" DrawAspect="Content" ObjectID="_1770098089" r:id="rId12"/>
        </w:object>
      </w:r>
    </w:p>
    <w:p w:rsidR="009C2357" w:rsidP="006E4E92" w:rsidRDefault="006E4E92" w14:paraId="5BEF4CE6" w14:textId="1FF05919">
      <w:pPr>
        <w:ind w:firstLine="440" w:firstLineChars="200"/>
        <w:rPr>
          <w:rFonts w:ascii="Times New Roman" w:hAnsi="Times New Roman" w:eastAsia="等线" w:cs="Times New Roman"/>
        </w:rPr>
      </w:pPr>
      <w:r w:rsidRPr="6704FF7E">
        <w:rPr>
          <w:rFonts w:ascii="Times New Roman" w:hAnsi="Times New Roman" w:eastAsia="等线" w:cs="Times New Roman"/>
        </w:rPr>
        <w:t>By k-</w:t>
      </w:r>
      <w:proofErr w:type="spellStart"/>
      <w:r w:rsidRPr="6704FF7E">
        <w:rPr>
          <w:rFonts w:ascii="Times New Roman" w:hAnsi="Times New Roman" w:eastAsia="等线" w:cs="Times New Roman"/>
        </w:rPr>
        <w:t>mer</w:t>
      </w:r>
      <w:proofErr w:type="spellEnd"/>
      <w:r w:rsidRPr="6704FF7E">
        <w:rPr>
          <w:rFonts w:ascii="Times New Roman" w:hAnsi="Times New Roman" w:eastAsia="等线" w:cs="Times New Roman"/>
        </w:rPr>
        <w:t xml:space="preserve"> coding, biological sequences are decomposed into </w:t>
      </w:r>
      <w:proofErr w:type="spellStart"/>
      <w:r w:rsidRPr="6704FF7E">
        <w:rPr>
          <w:rFonts w:ascii="Times New Roman" w:hAnsi="Times New Roman" w:eastAsia="等线" w:cs="Times New Roman"/>
        </w:rPr>
        <w:t>subsequences</w:t>
      </w:r>
      <w:proofErr w:type="spellEnd"/>
      <w:r w:rsidRPr="6704FF7E">
        <w:rPr>
          <w:rFonts w:ascii="Times New Roman" w:hAnsi="Times New Roman" w:eastAsia="等线" w:cs="Times New Roman"/>
        </w:rPr>
        <w:t xml:space="preserve"> of length k. The frequency of occurrence of each k-</w:t>
      </w:r>
      <w:proofErr w:type="spellStart"/>
      <w:r w:rsidRPr="6704FF7E">
        <w:rPr>
          <w:rFonts w:ascii="Times New Roman" w:hAnsi="Times New Roman" w:eastAsia="等线" w:cs="Times New Roman"/>
        </w:rPr>
        <w:t>mer</w:t>
      </w:r>
      <w:proofErr w:type="spellEnd"/>
      <w:r w:rsidRPr="6704FF7E">
        <w:rPr>
          <w:rFonts w:ascii="Times New Roman" w:hAnsi="Times New Roman" w:eastAsia="等线" w:cs="Times New Roman"/>
        </w:rPr>
        <w:t xml:space="preserve"> is counted and these frequencies are converted into a vector of values. In this way, each sequence corresponds to a vector. This allows further machine learning and sequence analysis.</w:t>
      </w:r>
    </w:p>
    <w:p w:rsidR="00654E57" w:rsidP="002A3FF2" w:rsidRDefault="00F455AE" w14:paraId="7680B06F" w14:textId="62F18259">
      <w:pPr>
        <w:ind w:firstLine="440" w:firstLineChars="200"/>
        <w:rPr>
          <w:rFonts w:ascii="Times New Roman" w:hAnsi="Times New Roman" w:eastAsia="等线" w:cs="Times New Roman"/>
        </w:rPr>
      </w:pPr>
      <w:r w:rsidRPr="00F455AE">
        <w:rPr>
          <w:rFonts w:ascii="Times New Roman" w:hAnsi="Times New Roman" w:eastAsia="等线" w:cs="Times New Roman"/>
        </w:rPr>
        <w:t xml:space="preserve">Experiments by </w:t>
      </w:r>
      <w:proofErr w:type="spellStart"/>
      <w:r w:rsidRPr="00F455AE">
        <w:rPr>
          <w:rFonts w:ascii="Times New Roman" w:hAnsi="Times New Roman" w:eastAsia="等线" w:cs="Times New Roman"/>
        </w:rPr>
        <w:t>Lv</w:t>
      </w:r>
      <w:proofErr w:type="spellEnd"/>
      <w:r w:rsidRPr="00F455AE">
        <w:rPr>
          <w:rFonts w:ascii="Times New Roman" w:hAnsi="Times New Roman" w:eastAsia="等线" w:cs="Times New Roman"/>
        </w:rPr>
        <w:t xml:space="preserve"> et al. show that compared with the model encoded by 1-mer one-hot, the model using 2-mer one-hot encoding shows better performance, stability and robustness, effectively improving the identification of rice genome.  Ability of the DNA N6-methyladenine site (</w:t>
      </w:r>
      <w:proofErr w:type="spellStart"/>
      <w:r w:rsidRPr="00F455AE">
        <w:rPr>
          <w:rFonts w:ascii="Times New Roman" w:hAnsi="Times New Roman" w:eastAsia="等线" w:cs="Times New Roman"/>
        </w:rPr>
        <w:t>Lv</w:t>
      </w:r>
      <w:proofErr w:type="spellEnd"/>
      <w:r w:rsidRPr="00F455AE">
        <w:rPr>
          <w:rFonts w:ascii="Times New Roman" w:hAnsi="Times New Roman" w:eastAsia="等线" w:cs="Times New Roman"/>
        </w:rPr>
        <w:t>, Z. et al., 2021).</w:t>
      </w:r>
    </w:p>
    <w:p w:rsidRPr="0020775A" w:rsidR="00142B78" w:rsidP="1999FC3C" w:rsidRDefault="0020775A" w14:paraId="2C6D80EE" w14:textId="06660081">
      <w:pPr>
        <w:rPr>
          <w:rFonts w:ascii="Times New Roman" w:hAnsi="Times New Roman" w:eastAsia="等线" w:cs="Times New Roman"/>
          <w:b/>
          <w:bCs/>
        </w:rPr>
      </w:pPr>
      <w:r>
        <w:rPr>
          <w:rFonts w:ascii="Times New Roman" w:hAnsi="Times New Roman" w:eastAsia="等线" w:cs="Times New Roman"/>
          <w:b/>
          <w:bCs/>
        </w:rPr>
        <w:t>E</w:t>
      </w:r>
      <w:r w:rsidRPr="0020775A" w:rsidR="006A699F">
        <w:rPr>
          <w:rFonts w:ascii="Times New Roman" w:hAnsi="Times New Roman" w:eastAsia="等线" w:cs="Times New Roman"/>
          <w:b/>
          <w:bCs/>
        </w:rPr>
        <w:t>mbedding</w:t>
      </w:r>
    </w:p>
    <w:p w:rsidR="005E3E23" w:rsidP="00654E57" w:rsidRDefault="00C36DD2" w14:paraId="0ADBF599" w14:textId="659AE6AD">
      <w:pPr>
        <w:ind w:firstLine="440" w:firstLineChars="200"/>
        <w:rPr>
          <w:rFonts w:ascii="Times New Roman" w:hAnsi="Times New Roman" w:eastAsia="等线" w:cs="Times New Roman"/>
        </w:rPr>
      </w:pPr>
      <w:r w:rsidRPr="00C36DD2">
        <w:rPr>
          <w:rFonts w:ascii="Times New Roman" w:hAnsi="Times New Roman" w:eastAsia="等线" w:cs="Times New Roman"/>
        </w:rPr>
        <w:t xml:space="preserve">In contrast </w:t>
      </w:r>
      <w:r w:rsidR="008E6FDC">
        <w:rPr>
          <w:rFonts w:hint="eastAsia" w:ascii="Times New Roman" w:hAnsi="Times New Roman" w:eastAsia="等线" w:cs="Times New Roman"/>
        </w:rPr>
        <w:t>with</w:t>
      </w:r>
      <w:r w:rsidRPr="00C36DD2">
        <w:rPr>
          <w:rFonts w:ascii="Times New Roman" w:hAnsi="Times New Roman" w:eastAsia="等线" w:cs="Times New Roman"/>
        </w:rPr>
        <w:t xml:space="preserve"> one-hot and k-</w:t>
      </w:r>
      <w:proofErr w:type="spellStart"/>
      <w:r w:rsidRPr="00C36DD2">
        <w:rPr>
          <w:rFonts w:ascii="Times New Roman" w:hAnsi="Times New Roman" w:eastAsia="等线" w:cs="Times New Roman"/>
        </w:rPr>
        <w:t>mer</w:t>
      </w:r>
      <w:proofErr w:type="spellEnd"/>
      <w:r w:rsidRPr="00C36DD2">
        <w:rPr>
          <w:rFonts w:ascii="Times New Roman" w:hAnsi="Times New Roman" w:eastAsia="等线" w:cs="Times New Roman"/>
        </w:rPr>
        <w:t xml:space="preserve">, embedding appears to be more complex, but it </w:t>
      </w:r>
      <w:r w:rsidR="0030577C">
        <w:rPr>
          <w:rFonts w:hint="eastAsia" w:ascii="Times New Roman" w:hAnsi="Times New Roman" w:eastAsia="等线" w:cs="Times New Roman"/>
        </w:rPr>
        <w:t>can</w:t>
      </w:r>
      <w:r w:rsidR="0030577C">
        <w:rPr>
          <w:rFonts w:ascii="Times New Roman" w:hAnsi="Times New Roman" w:eastAsia="等线" w:cs="Times New Roman"/>
        </w:rPr>
        <w:t xml:space="preserve"> </w:t>
      </w:r>
      <w:r w:rsidRPr="00C36DD2">
        <w:rPr>
          <w:rFonts w:ascii="Times New Roman" w:hAnsi="Times New Roman" w:eastAsia="等线" w:cs="Times New Roman"/>
        </w:rPr>
        <w:t>better capture the hidden biological information of sequences and also reduce the dimensionality.</w:t>
      </w:r>
    </w:p>
    <w:p w:rsidR="00C03EE3" w:rsidP="00654E57" w:rsidRDefault="00C03EE3" w14:paraId="713579E2" w14:textId="5E284BD3">
      <w:pPr>
        <w:ind w:firstLine="440" w:firstLineChars="200"/>
        <w:rPr>
          <w:rFonts w:ascii="Times New Roman" w:hAnsi="Times New Roman" w:eastAsia="等线" w:cs="Times New Roman"/>
        </w:rPr>
      </w:pPr>
      <w:r w:rsidRPr="00C03EE3">
        <w:rPr>
          <w:rFonts w:ascii="Times New Roman" w:hAnsi="Times New Roman" w:eastAsia="等线" w:cs="Times New Roman"/>
        </w:rPr>
        <w:t>Embedding technique is a method of transforming high-dimensional data into a low-dimensional space, which makes it easier to handle machine learning tasks with large-scale sparse inputs such as word vectors. With this technique, semantically similar elements are represented close to each other in the low-dimensional space, thus effectively capturing the semantic features of the input data.</w:t>
      </w:r>
    </w:p>
    <w:p w:rsidR="00194968" w:rsidP="00DA5C79" w:rsidRDefault="00F0684A" w14:paraId="15286EEB" w14:textId="2A7F5B7F">
      <w:pPr>
        <w:ind w:firstLine="440" w:firstLineChars="200"/>
        <w:rPr>
          <w:rFonts w:ascii="Times New Roman" w:hAnsi="Times New Roman" w:eastAsia="等线" w:cs="Times New Roman"/>
        </w:rPr>
      </w:pPr>
      <w:r w:rsidRPr="00F0684A">
        <w:rPr>
          <w:rFonts w:ascii="Times New Roman" w:hAnsi="Times New Roman" w:eastAsia="等线" w:cs="Times New Roman"/>
        </w:rPr>
        <w:t>Let us explain how embedding techniques deal with biological sequences through a concrete example. Take the example of protein language models (</w:t>
      </w:r>
      <w:proofErr w:type="spellStart"/>
      <w:r w:rsidRPr="00F0684A">
        <w:rPr>
          <w:rFonts w:ascii="Times New Roman" w:hAnsi="Times New Roman" w:eastAsia="等线" w:cs="Times New Roman"/>
        </w:rPr>
        <w:t>pLMs</w:t>
      </w:r>
      <w:proofErr w:type="spellEnd"/>
      <w:r w:rsidRPr="00F0684A">
        <w:rPr>
          <w:rFonts w:ascii="Times New Roman" w:hAnsi="Times New Roman" w:eastAsia="等线" w:cs="Times New Roman"/>
        </w:rPr>
        <w:t xml:space="preserve">), which treat amino acids in a protein sequence as tokens (equivalent to vocabulary in </w:t>
      </w:r>
      <w:r w:rsidR="00DE65AA">
        <w:rPr>
          <w:rFonts w:ascii="Times New Roman" w:hAnsi="Times New Roman" w:eastAsia="等线" w:cs="Times New Roman"/>
        </w:rPr>
        <w:t>NLP</w:t>
      </w:r>
      <w:r w:rsidRPr="00F0684A">
        <w:rPr>
          <w:rFonts w:ascii="Times New Roman" w:hAnsi="Times New Roman" w:eastAsia="等线" w:cs="Times New Roman"/>
        </w:rPr>
        <w:t xml:space="preserve">) and consider the entire protein sequence as a sentence. These models are first trained without any annotation by self-supervised learning, with the aim of learning to predict the amino acids that are masked in the sequence. This process allows the models to capture the intrinsic features and patterns of the protein sequence. In this way, the models learn not just the individual amino acids in the </w:t>
      </w:r>
      <w:r w:rsidRPr="00F0684A">
        <w:rPr>
          <w:rFonts w:ascii="Times New Roman" w:hAnsi="Times New Roman" w:eastAsia="等线" w:cs="Times New Roman"/>
        </w:rPr>
        <w:lastRenderedPageBreak/>
        <w:t>sequence, but the deep structure and functional patterns of the entire sequence, thus providing an effective means of understanding the complexity of proteins</w:t>
      </w:r>
      <w:r w:rsidRPr="000B05A9" w:rsidR="000B05A9">
        <w:t xml:space="preserve"> </w:t>
      </w:r>
      <w:r w:rsidRPr="000B05A9" w:rsidR="000B05A9">
        <w:rPr>
          <w:rFonts w:ascii="Times New Roman" w:hAnsi="Times New Roman" w:eastAsia="等线" w:cs="Times New Roman"/>
        </w:rPr>
        <w:t>(Elnaggar et al., 2022)</w:t>
      </w:r>
      <w:r w:rsidRPr="00F0684A">
        <w:rPr>
          <w:rFonts w:ascii="Times New Roman" w:hAnsi="Times New Roman" w:eastAsia="等线" w:cs="Times New Roman"/>
        </w:rPr>
        <w:t>.</w:t>
      </w:r>
    </w:p>
    <w:p w:rsidR="000B05A9" w:rsidP="00DA5C79" w:rsidRDefault="000B05A9" w14:paraId="7871CE79" w14:textId="77777777">
      <w:pPr>
        <w:ind w:firstLine="440" w:firstLineChars="200"/>
        <w:rPr>
          <w:rFonts w:ascii="等线" w:hAnsi="等线" w:eastAsia="等线" w:cs="等线"/>
        </w:rPr>
      </w:pPr>
    </w:p>
    <w:p w:rsidR="006A699F" w:rsidP="1999FC3C" w:rsidRDefault="006A699F" w14:paraId="40E9C5E3" w14:textId="77777777">
      <w:pPr>
        <w:rPr>
          <w:rFonts w:ascii="等线" w:hAnsi="等线" w:eastAsia="等线" w:cs="等线"/>
        </w:rPr>
      </w:pPr>
    </w:p>
    <w:p w:rsidR="00F741BA" w:rsidP="1999FC3C" w:rsidRDefault="000E5AA7" w14:paraId="192FD885" w14:textId="07704A52">
      <w:pPr>
        <w:rPr>
          <w:rStyle w:val="a4"/>
          <w:rFonts w:ascii="Times New Roman" w:hAnsi="Times New Roman" w:eastAsia="等线" w:cs="Times New Roman"/>
          <w:sz w:val="18"/>
          <w:szCs w:val="18"/>
        </w:rPr>
      </w:pPr>
      <w:r w:rsidRPr="008C39E1">
        <w:rPr>
          <w:rFonts w:ascii="Times New Roman" w:hAnsi="Times New Roman" w:eastAsia="等线" w:cs="Times New Roman"/>
          <w:sz w:val="18"/>
          <w:szCs w:val="18"/>
        </w:rPr>
        <w:t xml:space="preserve">Clavijo, B. J. (2018). K-Mer counting, part I: Introduction. </w:t>
      </w:r>
      <w:proofErr w:type="spellStart"/>
      <w:r w:rsidRPr="008C39E1">
        <w:rPr>
          <w:rFonts w:ascii="Times New Roman" w:hAnsi="Times New Roman" w:eastAsia="等线" w:cs="Times New Roman"/>
          <w:sz w:val="18"/>
          <w:szCs w:val="18"/>
        </w:rPr>
        <w:t>BioInfoLogics</w:t>
      </w:r>
      <w:proofErr w:type="spellEnd"/>
      <w:r w:rsidRPr="008C39E1">
        <w:rPr>
          <w:rFonts w:ascii="Times New Roman" w:hAnsi="Times New Roman" w:eastAsia="等线" w:cs="Times New Roman"/>
          <w:sz w:val="18"/>
          <w:szCs w:val="18"/>
        </w:rPr>
        <w:t xml:space="preserve">. </w:t>
      </w:r>
      <w:hyperlink r:id="rId13">
        <w:r w:rsidRPr="008C39E1" w:rsidR="001826ED">
          <w:rPr>
            <w:rStyle w:val="a4"/>
            <w:rFonts w:ascii="Times New Roman" w:hAnsi="Times New Roman" w:eastAsia="等线" w:cs="Times New Roman"/>
            <w:sz w:val="18"/>
            <w:szCs w:val="18"/>
          </w:rPr>
          <w:t>https://bioinfologics.github.io/post/2018/09/17/k-mer-counting-part-i-introduction/</w:t>
        </w:r>
      </w:hyperlink>
    </w:p>
    <w:p w:rsidRPr="008C39E1" w:rsidR="008C39E1" w:rsidP="1999FC3C" w:rsidRDefault="008C39E1" w14:paraId="0EE93411" w14:textId="77777777">
      <w:pPr>
        <w:rPr>
          <w:rFonts w:ascii="Times New Roman" w:hAnsi="Times New Roman" w:eastAsia="等线" w:cs="Times New Roman"/>
          <w:sz w:val="18"/>
          <w:szCs w:val="18"/>
        </w:rPr>
      </w:pPr>
    </w:p>
    <w:p w:rsidR="560CA3E4" w:rsidP="6B9DE983" w:rsidRDefault="560CA3E4" w14:paraId="523C4214" w14:textId="71FFCB73">
      <w:pPr>
        <w:rPr>
          <w:rStyle w:val="a4"/>
          <w:rFonts w:ascii="Times New Roman" w:hAnsi="Times New Roman" w:eastAsia="Segoe UI" w:cs="Times New Roman"/>
          <w:sz w:val="18"/>
          <w:szCs w:val="18"/>
        </w:rPr>
      </w:pPr>
      <w:r w:rsidRPr="008C39E1">
        <w:rPr>
          <w:rFonts w:ascii="Times New Roman" w:hAnsi="Times New Roman" w:eastAsia="Segoe UI" w:cs="Times New Roman"/>
          <w:color w:val="222222"/>
          <w:sz w:val="18"/>
          <w:szCs w:val="18"/>
        </w:rPr>
        <w:t xml:space="preserve">Sidhom, JW., Larman, H.B., </w:t>
      </w:r>
      <w:proofErr w:type="spellStart"/>
      <w:r w:rsidRPr="008C39E1">
        <w:rPr>
          <w:rFonts w:ascii="Times New Roman" w:hAnsi="Times New Roman" w:eastAsia="Segoe UI" w:cs="Times New Roman"/>
          <w:color w:val="222222"/>
          <w:sz w:val="18"/>
          <w:szCs w:val="18"/>
        </w:rPr>
        <w:t>Pardoll</w:t>
      </w:r>
      <w:proofErr w:type="spellEnd"/>
      <w:r w:rsidRPr="008C39E1">
        <w:rPr>
          <w:rFonts w:ascii="Times New Roman" w:hAnsi="Times New Roman" w:eastAsia="Segoe UI" w:cs="Times New Roman"/>
          <w:color w:val="222222"/>
          <w:sz w:val="18"/>
          <w:szCs w:val="18"/>
        </w:rPr>
        <w:t xml:space="preserve">, D.M. </w:t>
      </w:r>
      <w:r w:rsidRPr="008C39E1">
        <w:rPr>
          <w:rFonts w:ascii="Times New Roman" w:hAnsi="Times New Roman" w:eastAsia="Segoe UI" w:cs="Times New Roman"/>
          <w:i/>
          <w:iCs/>
          <w:color w:val="222222"/>
          <w:sz w:val="18"/>
          <w:szCs w:val="18"/>
        </w:rPr>
        <w:t>et al.</w:t>
      </w:r>
      <w:r w:rsidRPr="008C39E1">
        <w:rPr>
          <w:rFonts w:ascii="Times New Roman" w:hAnsi="Times New Roman" w:eastAsia="Segoe UI" w:cs="Times New Roman"/>
          <w:color w:val="222222"/>
          <w:sz w:val="18"/>
          <w:szCs w:val="18"/>
        </w:rPr>
        <w:t xml:space="preserve"> </w:t>
      </w:r>
      <w:proofErr w:type="spellStart"/>
      <w:r w:rsidRPr="008C39E1">
        <w:rPr>
          <w:rFonts w:ascii="Times New Roman" w:hAnsi="Times New Roman" w:eastAsia="Segoe UI" w:cs="Times New Roman"/>
          <w:color w:val="222222"/>
          <w:sz w:val="18"/>
          <w:szCs w:val="18"/>
        </w:rPr>
        <w:t>DeepTCR</w:t>
      </w:r>
      <w:proofErr w:type="spellEnd"/>
      <w:r w:rsidRPr="008C39E1">
        <w:rPr>
          <w:rFonts w:ascii="Times New Roman" w:hAnsi="Times New Roman" w:eastAsia="Segoe UI" w:cs="Times New Roman"/>
          <w:color w:val="222222"/>
          <w:sz w:val="18"/>
          <w:szCs w:val="18"/>
        </w:rPr>
        <w:t xml:space="preserve"> is a deep learning framework for revealing sequence concepts within T-cell repertoires. </w:t>
      </w:r>
      <w:r w:rsidRPr="008C39E1">
        <w:rPr>
          <w:rFonts w:ascii="Times New Roman" w:hAnsi="Times New Roman" w:eastAsia="Segoe UI" w:cs="Times New Roman"/>
          <w:i/>
          <w:iCs/>
          <w:color w:val="222222"/>
          <w:sz w:val="18"/>
          <w:szCs w:val="18"/>
        </w:rPr>
        <w:t xml:space="preserve">Nat </w:t>
      </w:r>
      <w:proofErr w:type="spellStart"/>
      <w:r w:rsidRPr="008C39E1">
        <w:rPr>
          <w:rFonts w:ascii="Times New Roman" w:hAnsi="Times New Roman" w:eastAsia="Segoe UI" w:cs="Times New Roman"/>
          <w:i/>
          <w:iCs/>
          <w:color w:val="222222"/>
          <w:sz w:val="18"/>
          <w:szCs w:val="18"/>
        </w:rPr>
        <w:t>Commun</w:t>
      </w:r>
      <w:proofErr w:type="spellEnd"/>
      <w:r w:rsidRPr="008C39E1">
        <w:rPr>
          <w:rFonts w:ascii="Times New Roman" w:hAnsi="Times New Roman" w:eastAsia="Segoe UI" w:cs="Times New Roman"/>
          <w:color w:val="222222"/>
          <w:sz w:val="18"/>
          <w:szCs w:val="18"/>
        </w:rPr>
        <w:t xml:space="preserve"> </w:t>
      </w:r>
      <w:r w:rsidRPr="008C39E1">
        <w:rPr>
          <w:rFonts w:ascii="Times New Roman" w:hAnsi="Times New Roman" w:eastAsia="Segoe UI" w:cs="Times New Roman"/>
          <w:b/>
          <w:bCs/>
          <w:color w:val="222222"/>
          <w:sz w:val="18"/>
          <w:szCs w:val="18"/>
        </w:rPr>
        <w:t>12</w:t>
      </w:r>
      <w:r w:rsidRPr="008C39E1">
        <w:rPr>
          <w:rFonts w:ascii="Times New Roman" w:hAnsi="Times New Roman" w:eastAsia="Segoe UI" w:cs="Times New Roman"/>
          <w:color w:val="222222"/>
          <w:sz w:val="18"/>
          <w:szCs w:val="18"/>
        </w:rPr>
        <w:t xml:space="preserve">, 1605 (2021). </w:t>
      </w:r>
      <w:hyperlink r:id="rId14">
        <w:r w:rsidRPr="008C39E1">
          <w:rPr>
            <w:rStyle w:val="a4"/>
            <w:rFonts w:ascii="Times New Roman" w:hAnsi="Times New Roman" w:eastAsia="Segoe UI" w:cs="Times New Roman"/>
            <w:sz w:val="18"/>
            <w:szCs w:val="18"/>
          </w:rPr>
          <w:t>https://doi.org/10.1038/s41467-021-21879-w</w:t>
        </w:r>
      </w:hyperlink>
    </w:p>
    <w:p w:rsidRPr="008C39E1" w:rsidR="008C39E1" w:rsidP="6B9DE983" w:rsidRDefault="008C39E1" w14:paraId="4FC345B0" w14:textId="77777777">
      <w:pPr>
        <w:rPr>
          <w:rFonts w:ascii="Times New Roman" w:hAnsi="Times New Roman" w:eastAsia="等线" w:cs="Times New Roman"/>
          <w:sz w:val="18"/>
          <w:szCs w:val="18"/>
        </w:rPr>
      </w:pPr>
    </w:p>
    <w:p w:rsidR="560CA3E4" w:rsidP="6B9DE983" w:rsidRDefault="560CA3E4" w14:paraId="68D48839" w14:textId="4E452B59">
      <w:pPr>
        <w:rPr>
          <w:rStyle w:val="a4"/>
          <w:rFonts w:ascii="Times New Roman" w:hAnsi="Times New Roman" w:eastAsia="Source Sans Pro" w:cs="Times New Roman"/>
          <w:color w:val="006FB7"/>
          <w:sz w:val="18"/>
          <w:szCs w:val="18"/>
          <w:u w:val="none"/>
        </w:rPr>
      </w:pPr>
      <w:r w:rsidRPr="008C39E1">
        <w:rPr>
          <w:rFonts w:ascii="Times New Roman" w:hAnsi="Times New Roman" w:eastAsia="Source Sans Pro" w:cs="Times New Roman"/>
          <w:color w:val="2A2A2A"/>
          <w:sz w:val="18"/>
          <w:szCs w:val="18"/>
        </w:rPr>
        <w:t xml:space="preserve">Guangyuan Li, Balaji Iyer, V B Surya Prasath, </w:t>
      </w:r>
      <w:proofErr w:type="spellStart"/>
      <w:r w:rsidRPr="008C39E1">
        <w:rPr>
          <w:rFonts w:ascii="Times New Roman" w:hAnsi="Times New Roman" w:eastAsia="Source Sans Pro" w:cs="Times New Roman"/>
          <w:color w:val="2A2A2A"/>
          <w:sz w:val="18"/>
          <w:szCs w:val="18"/>
        </w:rPr>
        <w:t>Yizhao</w:t>
      </w:r>
      <w:proofErr w:type="spellEnd"/>
      <w:r w:rsidRPr="008C39E1">
        <w:rPr>
          <w:rFonts w:ascii="Times New Roman" w:hAnsi="Times New Roman" w:eastAsia="Source Sans Pro" w:cs="Times New Roman"/>
          <w:color w:val="2A2A2A"/>
          <w:sz w:val="18"/>
          <w:szCs w:val="18"/>
        </w:rPr>
        <w:t xml:space="preserve"> Ni, Nathan </w:t>
      </w:r>
      <w:proofErr w:type="spellStart"/>
      <w:r w:rsidRPr="008C39E1">
        <w:rPr>
          <w:rFonts w:ascii="Times New Roman" w:hAnsi="Times New Roman" w:eastAsia="Source Sans Pro" w:cs="Times New Roman"/>
          <w:color w:val="2A2A2A"/>
          <w:sz w:val="18"/>
          <w:szCs w:val="18"/>
        </w:rPr>
        <w:t>Salomonis</w:t>
      </w:r>
      <w:proofErr w:type="spellEnd"/>
      <w:r w:rsidRPr="008C39E1">
        <w:rPr>
          <w:rFonts w:ascii="Times New Roman" w:hAnsi="Times New Roman" w:eastAsia="Source Sans Pro" w:cs="Times New Roman"/>
          <w:color w:val="2A2A2A"/>
          <w:sz w:val="18"/>
          <w:szCs w:val="18"/>
        </w:rPr>
        <w:t xml:space="preserve">, </w:t>
      </w:r>
      <w:proofErr w:type="spellStart"/>
      <w:r w:rsidRPr="008C39E1">
        <w:rPr>
          <w:rFonts w:ascii="Times New Roman" w:hAnsi="Times New Roman" w:eastAsia="Source Sans Pro" w:cs="Times New Roman"/>
          <w:color w:val="2A2A2A"/>
          <w:sz w:val="18"/>
          <w:szCs w:val="18"/>
        </w:rPr>
        <w:t>DeepImmuno</w:t>
      </w:r>
      <w:proofErr w:type="spellEnd"/>
      <w:r w:rsidRPr="008C39E1">
        <w:rPr>
          <w:rFonts w:ascii="Times New Roman" w:hAnsi="Times New Roman" w:eastAsia="Source Sans Pro" w:cs="Times New Roman"/>
          <w:color w:val="2A2A2A"/>
          <w:sz w:val="18"/>
          <w:szCs w:val="18"/>
        </w:rPr>
        <w:t xml:space="preserve">: deep learning-empowered prediction and generation of immunogenic peptides for T-cell immunity, </w:t>
      </w:r>
      <w:r w:rsidRPr="008C39E1">
        <w:rPr>
          <w:rFonts w:ascii="Times New Roman" w:hAnsi="Times New Roman" w:eastAsia="Source Sans Pro" w:cs="Times New Roman"/>
          <w:i/>
          <w:iCs/>
          <w:color w:val="2A2A2A"/>
          <w:sz w:val="18"/>
          <w:szCs w:val="18"/>
        </w:rPr>
        <w:t>Briefings in Bioinformatics</w:t>
      </w:r>
      <w:r w:rsidRPr="008C39E1">
        <w:rPr>
          <w:rFonts w:ascii="Times New Roman" w:hAnsi="Times New Roman" w:eastAsia="Source Sans Pro" w:cs="Times New Roman"/>
          <w:color w:val="2A2A2A"/>
          <w:sz w:val="18"/>
          <w:szCs w:val="18"/>
        </w:rPr>
        <w:t xml:space="preserve">, Volume 22, Issue 6, November 2021, bbab160, </w:t>
      </w:r>
      <w:hyperlink r:id="rId15">
        <w:r w:rsidRPr="008C39E1">
          <w:rPr>
            <w:rStyle w:val="a4"/>
            <w:rFonts w:ascii="Times New Roman" w:hAnsi="Times New Roman" w:eastAsia="Source Sans Pro" w:cs="Times New Roman"/>
            <w:color w:val="006FB7"/>
            <w:sz w:val="18"/>
            <w:szCs w:val="18"/>
            <w:u w:val="none"/>
          </w:rPr>
          <w:t>https://doi.org/10.1093/bib/bbab160</w:t>
        </w:r>
      </w:hyperlink>
    </w:p>
    <w:p w:rsidRPr="008C39E1" w:rsidR="008C39E1" w:rsidP="6B9DE983" w:rsidRDefault="008C39E1" w14:paraId="0B388590" w14:textId="77777777">
      <w:pPr>
        <w:rPr>
          <w:rFonts w:ascii="Times New Roman" w:hAnsi="Times New Roman" w:eastAsia="Segoe UI" w:cs="Times New Roman"/>
          <w:sz w:val="18"/>
          <w:szCs w:val="18"/>
        </w:rPr>
      </w:pPr>
    </w:p>
    <w:p w:rsidR="6B9DE983" w:rsidP="6704FF7E" w:rsidRDefault="53626FF5" w14:paraId="5A24CA8C" w14:textId="4897EC14">
      <w:pPr>
        <w:rPr>
          <w:rFonts w:ascii="Times New Roman" w:hAnsi="Times New Roman" w:eastAsia="Source Sans Pro" w:cs="Times New Roman"/>
          <w:sz w:val="18"/>
          <w:szCs w:val="18"/>
        </w:rPr>
      </w:pPr>
      <w:proofErr w:type="spellStart"/>
      <w:r w:rsidRPr="008C39E1">
        <w:rPr>
          <w:rFonts w:ascii="Times New Roman" w:hAnsi="Times New Roman" w:eastAsia="Source Sans Pro" w:cs="Times New Roman"/>
          <w:sz w:val="18"/>
          <w:szCs w:val="18"/>
        </w:rPr>
        <w:t>Lv</w:t>
      </w:r>
      <w:proofErr w:type="spellEnd"/>
      <w:r w:rsidRPr="008C39E1">
        <w:rPr>
          <w:rFonts w:ascii="Times New Roman" w:hAnsi="Times New Roman" w:eastAsia="Source Sans Pro" w:cs="Times New Roman"/>
          <w:sz w:val="18"/>
          <w:szCs w:val="18"/>
        </w:rPr>
        <w:t>, Z., Ding, H., Wang, L., &amp; Zou, Q. (2021). A convolutional neural network using dinucleotide one-hot encoder for identifying DNA N6-methyladenine sites in the rice genome. Neurocomputing, 422, 214-221.</w:t>
      </w:r>
    </w:p>
    <w:p w:rsidRPr="008C39E1" w:rsidR="008C39E1" w:rsidP="6704FF7E" w:rsidRDefault="008C39E1" w14:paraId="4880D17A" w14:textId="77777777">
      <w:pPr>
        <w:rPr>
          <w:rFonts w:ascii="Times New Roman" w:hAnsi="Times New Roman" w:eastAsia="Source Sans Pro" w:cs="Times New Roman"/>
          <w:sz w:val="18"/>
          <w:szCs w:val="18"/>
        </w:rPr>
      </w:pPr>
    </w:p>
    <w:p w:rsidRPr="008C39E1" w:rsidR="009B25A2" w:rsidP="6704FF7E" w:rsidRDefault="009B25A2" w14:paraId="031D1A50" w14:textId="76BA237F">
      <w:pPr>
        <w:rPr>
          <w:rFonts w:ascii="Times New Roman" w:hAnsi="Times New Roman" w:cs="Times New Roman"/>
          <w:sz w:val="18"/>
          <w:szCs w:val="18"/>
        </w:rPr>
      </w:pPr>
      <w:r w:rsidRPr="008C39E1">
        <w:rPr>
          <w:rFonts w:ascii="Times New Roman" w:hAnsi="Times New Roman" w:cs="Times New Roman"/>
          <w:sz w:val="18"/>
          <w:szCs w:val="18"/>
        </w:rPr>
        <w:t xml:space="preserve">Elnaggar, A., Heinzinger, M., Dallago, C., </w:t>
      </w:r>
      <w:proofErr w:type="spellStart"/>
      <w:r w:rsidRPr="008C39E1">
        <w:rPr>
          <w:rFonts w:ascii="Times New Roman" w:hAnsi="Times New Roman" w:cs="Times New Roman"/>
          <w:sz w:val="18"/>
          <w:szCs w:val="18"/>
        </w:rPr>
        <w:t>Rehawi</w:t>
      </w:r>
      <w:proofErr w:type="spellEnd"/>
      <w:r w:rsidRPr="008C39E1">
        <w:rPr>
          <w:rFonts w:ascii="Times New Roman" w:hAnsi="Times New Roman" w:cs="Times New Roman"/>
          <w:sz w:val="18"/>
          <w:szCs w:val="18"/>
        </w:rPr>
        <w:t xml:space="preserve">, G., Wang, Y., Jones, L., Gibbs, T., Feher, T., Angerer, C., </w:t>
      </w:r>
      <w:proofErr w:type="spellStart"/>
      <w:r w:rsidRPr="008C39E1">
        <w:rPr>
          <w:rFonts w:ascii="Times New Roman" w:hAnsi="Times New Roman" w:cs="Times New Roman"/>
          <w:sz w:val="18"/>
          <w:szCs w:val="18"/>
        </w:rPr>
        <w:t>Steinegger</w:t>
      </w:r>
      <w:proofErr w:type="spellEnd"/>
      <w:r w:rsidRPr="008C39E1">
        <w:rPr>
          <w:rFonts w:ascii="Times New Roman" w:hAnsi="Times New Roman" w:cs="Times New Roman"/>
          <w:sz w:val="18"/>
          <w:szCs w:val="18"/>
        </w:rPr>
        <w:t xml:space="preserve">, M., Bhowmik, D., &amp; Rost, B. (2022). </w:t>
      </w:r>
      <w:proofErr w:type="spellStart"/>
      <w:r w:rsidRPr="008C39E1">
        <w:rPr>
          <w:rFonts w:ascii="Times New Roman" w:hAnsi="Times New Roman" w:cs="Times New Roman"/>
          <w:sz w:val="18"/>
          <w:szCs w:val="18"/>
        </w:rPr>
        <w:t>ProtTrans</w:t>
      </w:r>
      <w:proofErr w:type="spellEnd"/>
      <w:r w:rsidRPr="008C39E1">
        <w:rPr>
          <w:rFonts w:ascii="Times New Roman" w:hAnsi="Times New Roman" w:cs="Times New Roman"/>
          <w:sz w:val="18"/>
          <w:szCs w:val="18"/>
        </w:rPr>
        <w:t>: Toward understanding the language of life through self-supervised learning. IEEE Transactions on Pattern Analysis and Machine Intelligence, 44(10), 7112–7127. https://doi.org/10.1109/tpami.2021.3095381</w:t>
      </w:r>
    </w:p>
    <w:p w:rsidRPr="008C39E1" w:rsidR="001826ED" w:rsidP="1999FC3C" w:rsidRDefault="001826ED" w14:paraId="51F29352" w14:textId="77777777">
      <w:pPr>
        <w:rPr>
          <w:rFonts w:ascii="Times New Roman" w:hAnsi="Times New Roman" w:eastAsia="等线" w:cs="Times New Roman"/>
          <w:sz w:val="18"/>
          <w:szCs w:val="18"/>
        </w:rPr>
      </w:pPr>
    </w:p>
    <w:p w:rsidRPr="008C39E1" w:rsidR="00F741BA" w:rsidP="1999FC3C" w:rsidRDefault="14490099" w14:paraId="13949D24" w14:textId="129E5DA0">
      <w:pPr>
        <w:rPr>
          <w:rFonts w:ascii="Times New Roman" w:hAnsi="Times New Roman" w:eastAsia="等线" w:cs="Times New Roman"/>
          <w:sz w:val="18"/>
          <w:szCs w:val="18"/>
        </w:rPr>
      </w:pPr>
      <w:r w:rsidRPr="01F16C42" w:rsidR="14490099">
        <w:rPr>
          <w:rFonts w:ascii="Times New Roman" w:hAnsi="Times New Roman" w:eastAsia="Segoe UI" w:cs="Times New Roman"/>
          <w:color w:val="212121"/>
          <w:sz w:val="18"/>
          <w:szCs w:val="18"/>
        </w:rPr>
        <w:t xml:space="preserve">Springer I, </w:t>
      </w:r>
      <w:r w:rsidRPr="01F16C42" w:rsidR="14490099">
        <w:rPr>
          <w:rFonts w:ascii="Times New Roman" w:hAnsi="Times New Roman" w:eastAsia="Segoe UI" w:cs="Times New Roman"/>
          <w:color w:val="212121"/>
          <w:sz w:val="18"/>
          <w:szCs w:val="18"/>
        </w:rPr>
        <w:t>Tickotsky</w:t>
      </w:r>
      <w:r w:rsidRPr="01F16C42" w:rsidR="14490099">
        <w:rPr>
          <w:rFonts w:ascii="Times New Roman" w:hAnsi="Times New Roman" w:eastAsia="Segoe UI" w:cs="Times New Roman"/>
          <w:color w:val="212121"/>
          <w:sz w:val="18"/>
          <w:szCs w:val="18"/>
        </w:rPr>
        <w:t xml:space="preserve"> N, </w:t>
      </w:r>
      <w:r w:rsidRPr="01F16C42" w:rsidR="14490099">
        <w:rPr>
          <w:rFonts w:ascii="Times New Roman" w:hAnsi="Times New Roman" w:eastAsia="Segoe UI" w:cs="Times New Roman"/>
          <w:color w:val="212121"/>
          <w:sz w:val="18"/>
          <w:szCs w:val="18"/>
        </w:rPr>
        <w:t>Louzoun</w:t>
      </w:r>
      <w:r w:rsidRPr="01F16C42" w:rsidR="14490099">
        <w:rPr>
          <w:rFonts w:ascii="Times New Roman" w:hAnsi="Times New Roman" w:eastAsia="Segoe UI" w:cs="Times New Roman"/>
          <w:color w:val="212121"/>
          <w:sz w:val="18"/>
          <w:szCs w:val="18"/>
        </w:rPr>
        <w:t xml:space="preserve"> Y. Contribution of T Cell Receptor </w:t>
      </w:r>
      <w:r w:rsidRPr="01F16C42" w:rsidR="14490099">
        <w:rPr>
          <w:rFonts w:ascii="Times New Roman" w:hAnsi="Times New Roman" w:eastAsia="Segoe UI" w:cs="Times New Roman"/>
          <w:color w:val="212121"/>
          <w:sz w:val="18"/>
          <w:szCs w:val="18"/>
        </w:rPr>
        <w:t>Alpha</w:t>
      </w:r>
      <w:r w:rsidRPr="01F16C42" w:rsidR="14490099">
        <w:rPr>
          <w:rFonts w:ascii="Times New Roman" w:hAnsi="Times New Roman" w:eastAsia="Segoe UI" w:cs="Times New Roman"/>
          <w:color w:val="212121"/>
          <w:sz w:val="18"/>
          <w:szCs w:val="18"/>
        </w:rPr>
        <w:t xml:space="preserve"> and Beta CDR3, MHC Typing, V and J Genes to Peptide Binding Prediction. Front Immunol. 2021 Apr </w:t>
      </w:r>
      <w:r w:rsidRPr="01F16C42" w:rsidR="14490099">
        <w:rPr>
          <w:rFonts w:ascii="Times New Roman" w:hAnsi="Times New Roman" w:eastAsia="Segoe UI" w:cs="Times New Roman"/>
          <w:color w:val="212121"/>
          <w:sz w:val="18"/>
          <w:szCs w:val="18"/>
        </w:rPr>
        <w:t>26;12:664514</w:t>
      </w:r>
      <w:r w:rsidRPr="01F16C42" w:rsidR="14490099">
        <w:rPr>
          <w:rFonts w:ascii="Times New Roman" w:hAnsi="Times New Roman" w:eastAsia="Segoe UI" w:cs="Times New Roman"/>
          <w:color w:val="212121"/>
          <w:sz w:val="18"/>
          <w:szCs w:val="18"/>
        </w:rPr>
        <w:t xml:space="preserve">. </w:t>
      </w:r>
      <w:r w:rsidRPr="01F16C42" w:rsidR="14490099">
        <w:rPr>
          <w:rFonts w:ascii="Times New Roman" w:hAnsi="Times New Roman" w:eastAsia="Segoe UI" w:cs="Times New Roman"/>
          <w:color w:val="212121"/>
          <w:sz w:val="18"/>
          <w:szCs w:val="18"/>
        </w:rPr>
        <w:t>doi</w:t>
      </w:r>
      <w:r w:rsidRPr="01F16C42" w:rsidR="14490099">
        <w:rPr>
          <w:rFonts w:ascii="Times New Roman" w:hAnsi="Times New Roman" w:eastAsia="Segoe UI" w:cs="Times New Roman"/>
          <w:color w:val="212121"/>
          <w:sz w:val="18"/>
          <w:szCs w:val="18"/>
        </w:rPr>
        <w:t>: 10.3389/fimmu.2021.664514. PMID: 33981311; PMCID: PMC8107833.</w:t>
      </w:r>
    </w:p>
    <w:p w:rsidR="01F16C42" w:rsidP="01F16C42" w:rsidRDefault="01F16C42" w14:paraId="157B592E" w14:textId="2A097E3E">
      <w:pPr>
        <w:pStyle w:val="a"/>
        <w:rPr>
          <w:rFonts w:ascii="Times New Roman" w:hAnsi="Times New Roman" w:eastAsia="Segoe UI" w:cs="Times New Roman"/>
          <w:color w:val="212121"/>
          <w:sz w:val="18"/>
          <w:szCs w:val="18"/>
        </w:rPr>
      </w:pPr>
    </w:p>
    <w:p w:rsidR="01F16C42" w:rsidP="01F16C42" w:rsidRDefault="01F16C42" w14:paraId="65A914E2" w14:textId="7412BD9C">
      <w:pPr>
        <w:pStyle w:val="a"/>
        <w:rPr>
          <w:rFonts w:ascii="Times New Roman" w:hAnsi="Times New Roman" w:eastAsia="Segoe UI" w:cs="Times New Roman"/>
          <w:color w:val="212121"/>
          <w:sz w:val="18"/>
          <w:szCs w:val="18"/>
        </w:rPr>
      </w:pPr>
    </w:p>
    <w:p w:rsidR="01F16C42" w:rsidP="01F16C42" w:rsidRDefault="01F16C42" w14:paraId="757B2750" w14:textId="5857B317">
      <w:pPr>
        <w:pStyle w:val="a"/>
        <w:rPr>
          <w:rFonts w:ascii="Times New Roman" w:hAnsi="Times New Roman" w:eastAsia="Segoe UI" w:cs="Times New Roman"/>
          <w:color w:val="212121"/>
          <w:sz w:val="18"/>
          <w:szCs w:val="18"/>
        </w:rPr>
      </w:pPr>
    </w:p>
    <w:p w:rsidR="01F16C42" w:rsidP="01F16C42" w:rsidRDefault="01F16C42" w14:paraId="01E8FCD7" w14:textId="2B360FA7">
      <w:pPr>
        <w:pStyle w:val="a"/>
        <w:rPr>
          <w:rFonts w:ascii="Times New Roman" w:hAnsi="Times New Roman" w:eastAsia="Segoe UI" w:cs="Times New Roman"/>
          <w:color w:val="212121"/>
          <w:sz w:val="18"/>
          <w:szCs w:val="18"/>
        </w:rPr>
      </w:pPr>
    </w:p>
    <w:p w:rsidR="01F16C42" w:rsidP="01F16C42" w:rsidRDefault="01F16C42" w14:paraId="14CA9BEB" w14:textId="3B502E8D">
      <w:pPr>
        <w:pStyle w:val="a"/>
        <w:rPr>
          <w:rFonts w:ascii="Times New Roman" w:hAnsi="Times New Roman" w:eastAsia="Segoe UI" w:cs="Times New Roman"/>
          <w:color w:val="212121"/>
          <w:sz w:val="18"/>
          <w:szCs w:val="18"/>
        </w:rPr>
      </w:pPr>
    </w:p>
    <w:p w:rsidR="01F16C42" w:rsidP="01F16C42" w:rsidRDefault="01F16C42" w14:paraId="3B475E8D" w14:textId="6CCE62DE">
      <w:pPr>
        <w:pStyle w:val="a"/>
        <w:rPr>
          <w:rFonts w:ascii="Times New Roman" w:hAnsi="Times New Roman" w:eastAsia="Segoe UI" w:cs="Times New Roman"/>
          <w:color w:val="212121"/>
          <w:sz w:val="18"/>
          <w:szCs w:val="18"/>
        </w:rPr>
      </w:pPr>
    </w:p>
    <w:p w:rsidR="01F16C42" w:rsidP="01F16C42" w:rsidRDefault="01F16C42" w14:paraId="62D0F015" w14:textId="2958310A">
      <w:pPr>
        <w:pStyle w:val="a"/>
        <w:rPr>
          <w:rFonts w:ascii="Times New Roman" w:hAnsi="Times New Roman" w:eastAsia="Segoe UI" w:cs="Times New Roman"/>
          <w:color w:val="212121"/>
          <w:sz w:val="18"/>
          <w:szCs w:val="18"/>
        </w:rPr>
      </w:pPr>
    </w:p>
    <w:p w:rsidR="01F16C42" w:rsidP="01F16C42" w:rsidRDefault="01F16C42" w14:paraId="015FFAE5" w14:textId="1C5F1AE7">
      <w:pPr>
        <w:pStyle w:val="a"/>
        <w:rPr>
          <w:rFonts w:ascii="Times New Roman" w:hAnsi="Times New Roman" w:eastAsia="Segoe UI" w:cs="Times New Roman"/>
          <w:color w:val="212121"/>
          <w:sz w:val="18"/>
          <w:szCs w:val="18"/>
        </w:rPr>
      </w:pPr>
    </w:p>
    <w:p w:rsidR="01F16C42" w:rsidP="01F16C42" w:rsidRDefault="01F16C42" w14:paraId="41B1E7CF" w14:textId="48895766">
      <w:pPr>
        <w:pStyle w:val="a"/>
        <w:rPr>
          <w:rFonts w:ascii="Times New Roman" w:hAnsi="Times New Roman" w:eastAsia="Segoe UI" w:cs="Times New Roman"/>
          <w:color w:val="212121"/>
          <w:sz w:val="18"/>
          <w:szCs w:val="18"/>
        </w:rPr>
      </w:pPr>
    </w:p>
    <w:p w:rsidR="01F16C42" w:rsidP="01F16C42" w:rsidRDefault="01F16C42" w14:paraId="3C4731DA" w14:textId="34E85AAA">
      <w:pPr>
        <w:pStyle w:val="a"/>
        <w:rPr>
          <w:rFonts w:ascii="Times New Roman" w:hAnsi="Times New Roman" w:eastAsia="Segoe UI" w:cs="Times New Roman"/>
          <w:color w:val="212121"/>
          <w:sz w:val="18"/>
          <w:szCs w:val="18"/>
        </w:rPr>
      </w:pPr>
    </w:p>
    <w:p w:rsidR="01F16C42" w:rsidP="01F16C42" w:rsidRDefault="01F16C42" w14:paraId="0CB3BE9F" w14:textId="17B6E8FD">
      <w:pPr>
        <w:pStyle w:val="a"/>
        <w:rPr>
          <w:rFonts w:ascii="Times New Roman" w:hAnsi="Times New Roman" w:eastAsia="Segoe UI" w:cs="Times New Roman"/>
          <w:color w:val="212121"/>
          <w:sz w:val="18"/>
          <w:szCs w:val="18"/>
        </w:rPr>
      </w:pPr>
    </w:p>
    <w:p w:rsidR="01F16C42" w:rsidP="01F16C42" w:rsidRDefault="01F16C42" w14:paraId="65649FD5" w14:textId="7066F96A">
      <w:pPr>
        <w:pStyle w:val="a"/>
        <w:rPr>
          <w:rFonts w:ascii="Times New Roman" w:hAnsi="Times New Roman" w:eastAsia="Segoe UI" w:cs="Times New Roman"/>
          <w:color w:val="212121"/>
          <w:sz w:val="18"/>
          <w:szCs w:val="18"/>
        </w:rPr>
      </w:pPr>
    </w:p>
    <w:p w:rsidR="01F16C42" w:rsidP="01F16C42" w:rsidRDefault="01F16C42" w14:paraId="54CB4B26" w14:textId="56A42311">
      <w:pPr>
        <w:pStyle w:val="a"/>
        <w:rPr>
          <w:rFonts w:ascii="Times New Roman" w:hAnsi="Times New Roman" w:eastAsia="Segoe UI" w:cs="Times New Roman"/>
          <w:color w:val="212121"/>
          <w:sz w:val="18"/>
          <w:szCs w:val="18"/>
        </w:rPr>
      </w:pPr>
    </w:p>
    <w:p w:rsidR="01F16C42" w:rsidP="01F16C42" w:rsidRDefault="01F16C42" w14:paraId="3D384397" w14:textId="6BBE03CF">
      <w:pPr>
        <w:pStyle w:val="a"/>
        <w:rPr>
          <w:rFonts w:ascii="Times New Roman" w:hAnsi="Times New Roman" w:eastAsia="Segoe UI" w:cs="Times New Roman"/>
          <w:color w:val="212121"/>
          <w:sz w:val="18"/>
          <w:szCs w:val="18"/>
        </w:rPr>
      </w:pPr>
    </w:p>
    <w:p w:rsidR="01F16C42" w:rsidP="01F16C42" w:rsidRDefault="01F16C42" w14:paraId="5BF92E5E" w14:textId="34021560">
      <w:pPr>
        <w:pStyle w:val="a"/>
        <w:rPr>
          <w:rFonts w:ascii="Times New Roman" w:hAnsi="Times New Roman" w:eastAsia="Segoe UI" w:cs="Times New Roman"/>
          <w:color w:val="212121"/>
          <w:sz w:val="18"/>
          <w:szCs w:val="18"/>
        </w:rPr>
      </w:pPr>
    </w:p>
    <w:p w:rsidR="01F16C42" w:rsidP="01F16C42" w:rsidRDefault="01F16C42" w14:paraId="7DB1ABF0" w14:textId="3605A69B">
      <w:pPr>
        <w:pStyle w:val="a"/>
        <w:rPr>
          <w:rFonts w:ascii="Times New Roman" w:hAnsi="Times New Roman" w:eastAsia="Segoe UI" w:cs="Times New Roman"/>
          <w:color w:val="212121"/>
          <w:sz w:val="18"/>
          <w:szCs w:val="18"/>
        </w:rPr>
      </w:pPr>
    </w:p>
    <w:p w:rsidR="01F16C42" w:rsidP="01F16C42" w:rsidRDefault="01F16C42" w14:paraId="555E9F8A" w14:textId="2679ECF4">
      <w:pPr>
        <w:pStyle w:val="a"/>
        <w:rPr>
          <w:rFonts w:ascii="Times New Roman" w:hAnsi="Times New Roman" w:eastAsia="Segoe UI" w:cs="Times New Roman"/>
          <w:color w:val="212121"/>
          <w:sz w:val="18"/>
          <w:szCs w:val="18"/>
        </w:rPr>
      </w:pPr>
    </w:p>
    <w:p w:rsidR="01F16C42" w:rsidP="01F16C42" w:rsidRDefault="01F16C42" w14:paraId="694C2B71" w14:textId="7AF8B1AF">
      <w:pPr>
        <w:pStyle w:val="a"/>
        <w:rPr>
          <w:rFonts w:ascii="Times New Roman" w:hAnsi="Times New Roman" w:eastAsia="Segoe UI" w:cs="Times New Roman"/>
          <w:color w:val="212121"/>
          <w:sz w:val="18"/>
          <w:szCs w:val="18"/>
        </w:rPr>
      </w:pPr>
    </w:p>
    <w:p w:rsidR="64FEA183" w:rsidP="01F16C42" w:rsidRDefault="64FEA183" w14:paraId="51CB7FE9" w14:textId="4D0F0626">
      <w:pPr>
        <w:pStyle w:val="a"/>
        <w:rPr>
          <w:rFonts w:ascii="Times New Roman" w:hAnsi="Times New Roman" w:eastAsia="Segoe UI" w:cs="Times New Roman"/>
          <w:color w:val="212121"/>
          <w:sz w:val="18"/>
          <w:szCs w:val="18"/>
        </w:rPr>
      </w:pPr>
      <w:r w:rsidRPr="01F16C42" w:rsidR="64FEA183">
        <w:rPr>
          <w:rFonts w:ascii="Times New Roman" w:hAnsi="Times New Roman" w:eastAsia="Segoe UI" w:cs="Times New Roman"/>
          <w:color w:val="212121"/>
          <w:sz w:val="18"/>
          <w:szCs w:val="18"/>
        </w:rPr>
        <w:t>5 min</w:t>
      </w:r>
    </w:p>
    <w:p w:rsidR="64FEA183" w:rsidP="01F16C42" w:rsidRDefault="64FEA183" w14:paraId="20F9919E" w14:textId="76EB7508">
      <w:pPr>
        <w:pStyle w:val="a"/>
        <w:rPr>
          <w:rFonts w:ascii="Times New Roman" w:hAnsi="Times New Roman" w:eastAsia="Segoe UI" w:cs="Times New Roman"/>
          <w:color w:val="212121"/>
          <w:sz w:val="18"/>
          <w:szCs w:val="18"/>
        </w:rPr>
      </w:pPr>
      <w:r w:rsidRPr="01F16C42" w:rsidR="64FEA183">
        <w:rPr>
          <w:rFonts w:ascii="Times New Roman" w:hAnsi="Times New Roman" w:eastAsia="Segoe UI" w:cs="Times New Roman"/>
          <w:color w:val="212121"/>
          <w:sz w:val="18"/>
          <w:szCs w:val="18"/>
        </w:rPr>
        <w:t>数据处理</w:t>
      </w:r>
      <w:r w:rsidRPr="01F16C42" w:rsidR="64FEA183">
        <w:rPr>
          <w:rFonts w:ascii="Times New Roman" w:hAnsi="Times New Roman" w:eastAsia="Segoe UI" w:cs="Times New Roman"/>
          <w:color w:val="212121"/>
          <w:sz w:val="18"/>
          <w:szCs w:val="18"/>
        </w:rPr>
        <w:t xml:space="preserve"> task2 目前的</w:t>
      </w:r>
      <w:r w:rsidRPr="01F16C42" w:rsidR="29D87D0A">
        <w:rPr>
          <w:rFonts w:ascii="Times New Roman" w:hAnsi="Times New Roman" w:eastAsia="Segoe UI" w:cs="Times New Roman"/>
          <w:color w:val="212121"/>
          <w:sz w:val="18"/>
          <w:szCs w:val="18"/>
        </w:rPr>
        <w:t>进度/</w:t>
      </w:r>
      <w:r w:rsidRPr="01F16C42" w:rsidR="64FEA183">
        <w:rPr>
          <w:rFonts w:ascii="Times New Roman" w:hAnsi="Times New Roman" w:eastAsia="Segoe UI" w:cs="Times New Roman"/>
          <w:color w:val="212121"/>
          <w:sz w:val="18"/>
          <w:szCs w:val="18"/>
        </w:rPr>
        <w:t>挑战 下一步计划</w:t>
      </w:r>
    </w:p>
    <w:p w:rsidR="2AD9B0F0" w:rsidP="01F16C42" w:rsidRDefault="2AD9B0F0" w14:paraId="0B9F4732" w14:textId="2493E8F7">
      <w:pPr>
        <w:pStyle w:val="a"/>
        <w:rPr>
          <w:rFonts w:ascii="Times New Roman" w:hAnsi="Times New Roman" w:eastAsia="Segoe UI" w:cs="Times New Roman"/>
          <w:color w:val="212121"/>
          <w:sz w:val="18"/>
          <w:szCs w:val="18"/>
        </w:rPr>
      </w:pPr>
      <w:r w:rsidRPr="01F16C42" w:rsidR="2AD9B0F0">
        <w:rPr>
          <w:rFonts w:ascii="Times New Roman" w:hAnsi="Times New Roman" w:eastAsia="Segoe UI" w:cs="Times New Roman"/>
          <w:color w:val="212121"/>
          <w:sz w:val="18"/>
          <w:szCs w:val="18"/>
        </w:rPr>
        <w:t>1. 为什么要选择这些colum</w:t>
      </w:r>
    </w:p>
    <w:p w:rsidR="2AD9B0F0" w:rsidP="01F16C42" w:rsidRDefault="2AD9B0F0" w14:paraId="1EC290FC" w14:textId="66B4B379">
      <w:pPr>
        <w:pStyle w:val="a"/>
        <w:rPr>
          <w:rFonts w:ascii="Times New Roman" w:hAnsi="Times New Roman" w:eastAsia="Segoe UI" w:cs="Times New Roman"/>
          <w:color w:val="212121"/>
          <w:sz w:val="18"/>
          <w:szCs w:val="18"/>
        </w:rPr>
      </w:pPr>
      <w:r w:rsidRPr="01F16C42" w:rsidR="2AD9B0F0">
        <w:rPr>
          <w:rFonts w:ascii="Times New Roman" w:hAnsi="Times New Roman" w:eastAsia="Segoe UI" w:cs="Times New Roman"/>
          <w:color w:val="212121"/>
          <w:sz w:val="18"/>
          <w:szCs w:val="18"/>
        </w:rPr>
        <w:t>如何处理数据</w:t>
      </w:r>
    </w:p>
    <w:p w:rsidR="2AD9B0F0" w:rsidP="01F16C42" w:rsidRDefault="2AD9B0F0" w14:paraId="065BB2C2" w14:textId="579AD075">
      <w:pPr>
        <w:pStyle w:val="a"/>
        <w:rPr>
          <w:rFonts w:ascii="Times New Roman" w:hAnsi="Times New Roman" w:eastAsia="Segoe UI" w:cs="Times New Roman"/>
          <w:color w:val="212121"/>
          <w:sz w:val="18"/>
          <w:szCs w:val="18"/>
        </w:rPr>
      </w:pPr>
      <w:r w:rsidRPr="01F16C42" w:rsidR="2AD9B0F0">
        <w:rPr>
          <w:rFonts w:ascii="Times New Roman" w:hAnsi="Times New Roman" w:eastAsia="Segoe UI" w:cs="Times New Roman"/>
          <w:color w:val="212121"/>
          <w:sz w:val="18"/>
          <w:szCs w:val="18"/>
        </w:rPr>
        <w:t xml:space="preserve">2.onehot </w:t>
      </w:r>
    </w:p>
    <w:sectPr w:rsidRPr="008C39E1" w:rsidR="00F741BA" w:rsidSect="00C31717">
      <w:pgSz w:w="11906" w:h="16838" w:orient="portrait"/>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textHash int2:hashCode="McBO8DDvRWYdYP" int2:id="KRxKDptt">
      <int2:state int2:type="AugLoop_Text_Critique" int2:value="Rejected"/>
    </int2:textHash>
    <int2:textHash int2:hashCode="TXPCmkVhBIzoX6" int2:id="bcKmhezk">
      <int2:state int2:type="AugLoop_Text_Critique" int2:value="Rejected"/>
    </int2:textHash>
    <int2:bookmark int2:bookmarkName="_Int_jM4v0NqQ" int2:invalidationBookmarkName="" int2:hashCode="6KKGt3CkzJaQy/" int2:id="9XZWMZpb">
      <int2:state int2:type="WordDesignerPullQuotesAnnotation" int2:value="Reviewed"/>
    </int2:bookmark>
    <int2:bookmark int2:bookmarkName="_Int_9KUnVpdy" int2:invalidationBookmarkName="" int2:hashCode="vnb5oQHLbqLxm+" int2:id="qUFlWrd2">
      <int2:state int2:type="WordDesignerSuggestedImageAnnotation" int2:value="Review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BAC0"/>
    <w:multiLevelType w:val="hybridMultilevel"/>
    <w:tmpl w:val="2AD489EE"/>
    <w:lvl w:ilvl="0" w:tplc="F676D72E">
      <w:start w:val="1"/>
      <w:numFmt w:val="bullet"/>
      <w:lvlText w:val=""/>
      <w:lvlJc w:val="left"/>
      <w:pPr>
        <w:ind w:left="720" w:hanging="360"/>
      </w:pPr>
      <w:rPr>
        <w:rFonts w:hint="default" w:ascii="Symbol" w:hAnsi="Symbol"/>
      </w:rPr>
    </w:lvl>
    <w:lvl w:ilvl="1" w:tplc="76CE4C96">
      <w:start w:val="1"/>
      <w:numFmt w:val="bullet"/>
      <w:lvlText w:val="o"/>
      <w:lvlJc w:val="left"/>
      <w:pPr>
        <w:ind w:left="1440" w:hanging="360"/>
      </w:pPr>
      <w:rPr>
        <w:rFonts w:hint="default" w:ascii="Courier New" w:hAnsi="Courier New"/>
      </w:rPr>
    </w:lvl>
    <w:lvl w:ilvl="2" w:tplc="9C7A9EFE">
      <w:start w:val="1"/>
      <w:numFmt w:val="bullet"/>
      <w:lvlText w:val=""/>
      <w:lvlJc w:val="left"/>
      <w:pPr>
        <w:ind w:left="2160" w:hanging="360"/>
      </w:pPr>
      <w:rPr>
        <w:rFonts w:hint="default" w:ascii="Wingdings" w:hAnsi="Wingdings"/>
      </w:rPr>
    </w:lvl>
    <w:lvl w:ilvl="3" w:tplc="EAC427C6">
      <w:start w:val="1"/>
      <w:numFmt w:val="bullet"/>
      <w:lvlText w:val=""/>
      <w:lvlJc w:val="left"/>
      <w:pPr>
        <w:ind w:left="2880" w:hanging="360"/>
      </w:pPr>
      <w:rPr>
        <w:rFonts w:hint="default" w:ascii="Symbol" w:hAnsi="Symbol"/>
      </w:rPr>
    </w:lvl>
    <w:lvl w:ilvl="4" w:tplc="2EBC51E6">
      <w:start w:val="1"/>
      <w:numFmt w:val="bullet"/>
      <w:lvlText w:val="o"/>
      <w:lvlJc w:val="left"/>
      <w:pPr>
        <w:ind w:left="3600" w:hanging="360"/>
      </w:pPr>
      <w:rPr>
        <w:rFonts w:hint="default" w:ascii="Courier New" w:hAnsi="Courier New"/>
      </w:rPr>
    </w:lvl>
    <w:lvl w:ilvl="5" w:tplc="5DD2BC8A">
      <w:start w:val="1"/>
      <w:numFmt w:val="bullet"/>
      <w:lvlText w:val=""/>
      <w:lvlJc w:val="left"/>
      <w:pPr>
        <w:ind w:left="4320" w:hanging="360"/>
      </w:pPr>
      <w:rPr>
        <w:rFonts w:hint="default" w:ascii="Wingdings" w:hAnsi="Wingdings"/>
      </w:rPr>
    </w:lvl>
    <w:lvl w:ilvl="6" w:tplc="773CC3C0">
      <w:start w:val="1"/>
      <w:numFmt w:val="bullet"/>
      <w:lvlText w:val=""/>
      <w:lvlJc w:val="left"/>
      <w:pPr>
        <w:ind w:left="5040" w:hanging="360"/>
      </w:pPr>
      <w:rPr>
        <w:rFonts w:hint="default" w:ascii="Symbol" w:hAnsi="Symbol"/>
      </w:rPr>
    </w:lvl>
    <w:lvl w:ilvl="7" w:tplc="14B84440">
      <w:start w:val="1"/>
      <w:numFmt w:val="bullet"/>
      <w:lvlText w:val="o"/>
      <w:lvlJc w:val="left"/>
      <w:pPr>
        <w:ind w:left="5760" w:hanging="360"/>
      </w:pPr>
      <w:rPr>
        <w:rFonts w:hint="default" w:ascii="Courier New" w:hAnsi="Courier New"/>
      </w:rPr>
    </w:lvl>
    <w:lvl w:ilvl="8" w:tplc="E168FC6C">
      <w:start w:val="1"/>
      <w:numFmt w:val="bullet"/>
      <w:lvlText w:val=""/>
      <w:lvlJc w:val="left"/>
      <w:pPr>
        <w:ind w:left="6480" w:hanging="360"/>
      </w:pPr>
      <w:rPr>
        <w:rFonts w:hint="default" w:ascii="Wingdings" w:hAnsi="Wingdings"/>
      </w:rPr>
    </w:lvl>
  </w:abstractNum>
  <w:num w:numId="1" w16cid:durableId="56691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FA"/>
    <w:rsid w:val="00015C0C"/>
    <w:rsid w:val="00035B30"/>
    <w:rsid w:val="00057A7F"/>
    <w:rsid w:val="00066FD1"/>
    <w:rsid w:val="00075A1A"/>
    <w:rsid w:val="00083D98"/>
    <w:rsid w:val="000A1A08"/>
    <w:rsid w:val="000A2D59"/>
    <w:rsid w:val="000B05A9"/>
    <w:rsid w:val="000E5AA7"/>
    <w:rsid w:val="000F5D74"/>
    <w:rsid w:val="00100B69"/>
    <w:rsid w:val="00124D7F"/>
    <w:rsid w:val="00142B78"/>
    <w:rsid w:val="0014642F"/>
    <w:rsid w:val="0015198F"/>
    <w:rsid w:val="001746DE"/>
    <w:rsid w:val="001826ED"/>
    <w:rsid w:val="00194968"/>
    <w:rsid w:val="00195405"/>
    <w:rsid w:val="001A3202"/>
    <w:rsid w:val="001C4024"/>
    <w:rsid w:val="0020775A"/>
    <w:rsid w:val="002220BD"/>
    <w:rsid w:val="00234AE0"/>
    <w:rsid w:val="002569DC"/>
    <w:rsid w:val="002A3FF2"/>
    <w:rsid w:val="002A758F"/>
    <w:rsid w:val="002C4677"/>
    <w:rsid w:val="002D39DD"/>
    <w:rsid w:val="002E4BFF"/>
    <w:rsid w:val="002E5187"/>
    <w:rsid w:val="0030577C"/>
    <w:rsid w:val="00331488"/>
    <w:rsid w:val="00335940"/>
    <w:rsid w:val="003C4158"/>
    <w:rsid w:val="003D3943"/>
    <w:rsid w:val="003E347F"/>
    <w:rsid w:val="004941E4"/>
    <w:rsid w:val="004B3F64"/>
    <w:rsid w:val="00516B31"/>
    <w:rsid w:val="00559BE1"/>
    <w:rsid w:val="00562AD2"/>
    <w:rsid w:val="00574A50"/>
    <w:rsid w:val="005E3E23"/>
    <w:rsid w:val="005F49BC"/>
    <w:rsid w:val="00605911"/>
    <w:rsid w:val="006064E4"/>
    <w:rsid w:val="00613BAA"/>
    <w:rsid w:val="00624610"/>
    <w:rsid w:val="00640274"/>
    <w:rsid w:val="00654E57"/>
    <w:rsid w:val="00661069"/>
    <w:rsid w:val="006A693C"/>
    <w:rsid w:val="006A699F"/>
    <w:rsid w:val="006D3620"/>
    <w:rsid w:val="006D516B"/>
    <w:rsid w:val="006E4E92"/>
    <w:rsid w:val="0070274B"/>
    <w:rsid w:val="007057F7"/>
    <w:rsid w:val="00795853"/>
    <w:rsid w:val="00797EC2"/>
    <w:rsid w:val="007C146E"/>
    <w:rsid w:val="007E01B1"/>
    <w:rsid w:val="007E1349"/>
    <w:rsid w:val="007E3A53"/>
    <w:rsid w:val="00824D4E"/>
    <w:rsid w:val="008366B3"/>
    <w:rsid w:val="00856F23"/>
    <w:rsid w:val="00866053"/>
    <w:rsid w:val="008935A9"/>
    <w:rsid w:val="008A22E1"/>
    <w:rsid w:val="008B1AC2"/>
    <w:rsid w:val="008C39E1"/>
    <w:rsid w:val="008E6FDC"/>
    <w:rsid w:val="00907DDB"/>
    <w:rsid w:val="009220C4"/>
    <w:rsid w:val="00943040"/>
    <w:rsid w:val="00951B99"/>
    <w:rsid w:val="009536DE"/>
    <w:rsid w:val="00957EEF"/>
    <w:rsid w:val="0096292B"/>
    <w:rsid w:val="009B25A2"/>
    <w:rsid w:val="009B457F"/>
    <w:rsid w:val="009C2357"/>
    <w:rsid w:val="009E3C20"/>
    <w:rsid w:val="00A25793"/>
    <w:rsid w:val="00A439C6"/>
    <w:rsid w:val="00AA268B"/>
    <w:rsid w:val="00AF1BD4"/>
    <w:rsid w:val="00AF45C9"/>
    <w:rsid w:val="00B06E8F"/>
    <w:rsid w:val="00B206F3"/>
    <w:rsid w:val="00B23685"/>
    <w:rsid w:val="00B44623"/>
    <w:rsid w:val="00B52FB8"/>
    <w:rsid w:val="00BA38F9"/>
    <w:rsid w:val="00BC39B2"/>
    <w:rsid w:val="00C03EE3"/>
    <w:rsid w:val="00C17C0C"/>
    <w:rsid w:val="00C31717"/>
    <w:rsid w:val="00C36DD2"/>
    <w:rsid w:val="00C44A12"/>
    <w:rsid w:val="00C63AD9"/>
    <w:rsid w:val="00C67AC4"/>
    <w:rsid w:val="00CE6716"/>
    <w:rsid w:val="00D65389"/>
    <w:rsid w:val="00D813EE"/>
    <w:rsid w:val="00D83CA3"/>
    <w:rsid w:val="00DA5C79"/>
    <w:rsid w:val="00DE02C1"/>
    <w:rsid w:val="00DE65AA"/>
    <w:rsid w:val="00DF6686"/>
    <w:rsid w:val="00E03841"/>
    <w:rsid w:val="00E27946"/>
    <w:rsid w:val="00E8045B"/>
    <w:rsid w:val="00E86433"/>
    <w:rsid w:val="00E86F8D"/>
    <w:rsid w:val="00E90B5A"/>
    <w:rsid w:val="00E94B50"/>
    <w:rsid w:val="00EA7C28"/>
    <w:rsid w:val="00ED03EC"/>
    <w:rsid w:val="00EE0091"/>
    <w:rsid w:val="00EE0EBC"/>
    <w:rsid w:val="00F02712"/>
    <w:rsid w:val="00F0684A"/>
    <w:rsid w:val="00F1594C"/>
    <w:rsid w:val="00F41770"/>
    <w:rsid w:val="00F44F7C"/>
    <w:rsid w:val="00F455AE"/>
    <w:rsid w:val="00F4636D"/>
    <w:rsid w:val="00F629FA"/>
    <w:rsid w:val="00F741BA"/>
    <w:rsid w:val="00F8127D"/>
    <w:rsid w:val="00F9665E"/>
    <w:rsid w:val="00FE2177"/>
    <w:rsid w:val="00FF6501"/>
    <w:rsid w:val="01F16C42"/>
    <w:rsid w:val="02C41952"/>
    <w:rsid w:val="0BA6A705"/>
    <w:rsid w:val="0D70CD2A"/>
    <w:rsid w:val="14490099"/>
    <w:rsid w:val="17FF781E"/>
    <w:rsid w:val="1999FC3C"/>
    <w:rsid w:val="1CD64261"/>
    <w:rsid w:val="21E30C35"/>
    <w:rsid w:val="22338717"/>
    <w:rsid w:val="28F95298"/>
    <w:rsid w:val="29D87D0A"/>
    <w:rsid w:val="2AD9B0F0"/>
    <w:rsid w:val="3021A859"/>
    <w:rsid w:val="332E7BA0"/>
    <w:rsid w:val="3831C0C2"/>
    <w:rsid w:val="3AB37D27"/>
    <w:rsid w:val="3DEBD3F0"/>
    <w:rsid w:val="3DF10B4C"/>
    <w:rsid w:val="3EBD4873"/>
    <w:rsid w:val="3FF04A76"/>
    <w:rsid w:val="40FD679C"/>
    <w:rsid w:val="469262AF"/>
    <w:rsid w:val="48BC362E"/>
    <w:rsid w:val="4ECBE7F8"/>
    <w:rsid w:val="53626FF5"/>
    <w:rsid w:val="560CA3E4"/>
    <w:rsid w:val="56E02BB0"/>
    <w:rsid w:val="5FA2B10E"/>
    <w:rsid w:val="611A5677"/>
    <w:rsid w:val="64FEA183"/>
    <w:rsid w:val="66137AE0"/>
    <w:rsid w:val="6704FF7E"/>
    <w:rsid w:val="6A3CA040"/>
    <w:rsid w:val="6B72141A"/>
    <w:rsid w:val="6B9DE983"/>
    <w:rsid w:val="6CBF58B1"/>
    <w:rsid w:val="6F10C76A"/>
    <w:rsid w:val="7120FC45"/>
    <w:rsid w:val="755F68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2EC18"/>
  <w15:chartTrackingRefBased/>
  <w15:docId w15:val="{A876FE01-4CDB-4F39-931D-A2908CBB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pPr>
      <w:ind w:firstLine="420" w:firstLineChars="200"/>
    </w:pPr>
  </w:style>
  <w:style w:type="character" w:styleId="30" w:customStyle="1">
    <w:name w:val="标题 3 字符"/>
    <w:basedOn w:val="a0"/>
    <w:link w:val="3"/>
    <w:uiPriority w:val="9"/>
    <w:rPr>
      <w:b/>
      <w:bCs/>
      <w:sz w:val="32"/>
      <w:szCs w:val="32"/>
    </w:rPr>
  </w:style>
  <w:style w:type="character" w:styleId="a4">
    <w:name w:val="Hyperlink"/>
    <w:basedOn w:val="a0"/>
    <w:uiPriority w:val="99"/>
    <w:unhideWhenUsed/>
    <w:rsid w:val="001826ED"/>
    <w:rPr>
      <w:color w:val="0563C1" w:themeColor="hyperlink"/>
      <w:u w:val="single"/>
    </w:rPr>
  </w:style>
  <w:style w:type="character" w:styleId="a5">
    <w:name w:val="Unresolved Mention"/>
    <w:basedOn w:val="a0"/>
    <w:uiPriority w:val="99"/>
    <w:semiHidden/>
    <w:unhideWhenUsed/>
    <w:rsid w:val="00182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ubmed.ncbi.nlm.nih.gov/?term=Springer+I&amp;cauthor_id=33981311" TargetMode="External" Id="rId8" /><Relationship Type="http://schemas.openxmlformats.org/officeDocument/2006/relationships/hyperlink" Target="https://bioinfologics.github.io/post/2018/09/17/k-mer-counting-part-i-introduction/" TargetMode="Externa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package" Target="embeddings/Microsoft_Visio_Drawing.vsdx"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emf" Id="rId11" /><Relationship Type="http://schemas.openxmlformats.org/officeDocument/2006/relationships/styles" Target="styles.xml" Id="rId5" /><Relationship Type="http://schemas.openxmlformats.org/officeDocument/2006/relationships/hyperlink" Target="https://doi.org/10.1093/bib/bbab160" TargetMode="External" Id="rId15" /><Relationship Type="http://schemas.openxmlformats.org/officeDocument/2006/relationships/hyperlink" Target="https://pubmed.ncbi.nlm.nih.gov/?term=Louzoun+Y&amp;cauthor_id=33981311" TargetMode="External" Id="rId10" /><Relationship Type="http://schemas.openxmlformats.org/officeDocument/2006/relationships/numbering" Target="numbering.xml" Id="rId4" /><Relationship Type="http://schemas.openxmlformats.org/officeDocument/2006/relationships/hyperlink" Target="https://pubmed.ncbi.nlm.nih.gov/?term=Tickotsky+N&amp;cauthor_id=33981311" TargetMode="External" Id="rId9" /><Relationship Type="http://schemas.openxmlformats.org/officeDocument/2006/relationships/hyperlink" Target="https://doi.org/10.1038/s41467-021-21879-w" TargetMode="External" Id="rId1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5368d0f-cfb7-4feb-9715-8eb07c159a0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79F5B6E3D2724388E4C6F598A8A538" ma:contentTypeVersion="8" ma:contentTypeDescription="Create a new document." ma:contentTypeScope="" ma:versionID="2714beb8af7dc5d817d4f72babf82437">
  <xsd:schema xmlns:xsd="http://www.w3.org/2001/XMLSchema" xmlns:xs="http://www.w3.org/2001/XMLSchema" xmlns:p="http://schemas.microsoft.com/office/2006/metadata/properties" xmlns:ns3="e5368d0f-cfb7-4feb-9715-8eb07c159a01" xmlns:ns4="9b766741-bf35-4524-ac71-1ee42c610aaa" targetNamespace="http://schemas.microsoft.com/office/2006/metadata/properties" ma:root="true" ma:fieldsID="546466427b0fa08497b88317d1df2984" ns3:_="" ns4:_="">
    <xsd:import namespace="e5368d0f-cfb7-4feb-9715-8eb07c159a01"/>
    <xsd:import namespace="9b766741-bf35-4524-ac71-1ee42c610aa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68d0f-cfb7-4feb-9715-8eb07c159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766741-bf35-4524-ac71-1ee42c610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E2DE1A-956C-410B-B99B-0249A84EF26E}">
  <ds:schemaRefs>
    <ds:schemaRef ds:uri="http://schemas.microsoft.com/office/2006/metadata/properties"/>
    <ds:schemaRef ds:uri="http://schemas.microsoft.com/office/infopath/2007/PartnerControls"/>
    <ds:schemaRef ds:uri="e5368d0f-cfb7-4feb-9715-8eb07c159a01"/>
  </ds:schemaRefs>
</ds:datastoreItem>
</file>

<file path=customXml/itemProps2.xml><?xml version="1.0" encoding="utf-8"?>
<ds:datastoreItem xmlns:ds="http://schemas.openxmlformats.org/officeDocument/2006/customXml" ds:itemID="{4D6FCAAE-3939-410A-BA12-404E2869B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68d0f-cfb7-4feb-9715-8eb07c159a01"/>
    <ds:schemaRef ds:uri="9b766741-bf35-4524-ac71-1ee42c610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C2DFFA-4A53-4C51-BA34-1996E16BAAA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Xingyu Wang</dc:creator>
  <keywords/>
  <dc:description/>
  <lastModifiedBy>Xingyu Wang</lastModifiedBy>
  <revision>125</revision>
  <dcterms:created xsi:type="dcterms:W3CDTF">2024-02-15T09:04:00.0000000Z</dcterms:created>
  <dcterms:modified xsi:type="dcterms:W3CDTF">2024-03-07T10:26:22.6433090Z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0x0101007179F5B6E3D2724388E4C6F598A8A538</vt:lpwstr>
  </property>
  <property fmtid="{D5CDD505-2E9C-101B-9397-08002B2CF9AE}" pid="3" name="GrammarlyDocumentId">
    <vt:lpwstr>ea1cda77c6d525210daef0c713346b645130c9083c8f49de72d74e318ae08759</vt:lpwstr>
  </property>
</Properties>
</file>