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C491" w14:textId="77777777" w:rsidR="00DA38AA" w:rsidRDefault="00DA38AA" w:rsidP="00DA38AA">
      <w:pPr>
        <w:rPr>
          <w:rFonts w:ascii="Arial" w:hAnsi="Arial" w:cs="Arial"/>
          <w:b/>
          <w:bCs/>
          <w:sz w:val="28"/>
          <w:szCs w:val="28"/>
        </w:rPr>
      </w:pPr>
      <w:r w:rsidRPr="00DA38AA">
        <w:rPr>
          <w:rFonts w:ascii="Arial" w:hAnsi="Arial" w:cs="Arial"/>
          <w:b/>
          <w:bCs/>
          <w:sz w:val="28"/>
          <w:szCs w:val="28"/>
        </w:rPr>
        <w:t xml:space="preserve">1.2 Preprocess the dataset. </w:t>
      </w:r>
    </w:p>
    <w:p w14:paraId="25BC4B14" w14:textId="618ECC5A" w:rsidR="001F653F" w:rsidRDefault="00DA38AA" w:rsidP="00DA38AA">
      <w:pPr>
        <w:rPr>
          <w:rFonts w:ascii="Arial" w:hAnsi="Arial" w:cs="Arial"/>
          <w:b/>
          <w:bCs/>
          <w:sz w:val="28"/>
          <w:szCs w:val="28"/>
        </w:rPr>
      </w:pPr>
      <w:r w:rsidRPr="00DA38AA">
        <w:rPr>
          <w:rFonts w:ascii="Arial" w:hAnsi="Arial" w:cs="Arial"/>
          <w:b/>
          <w:bCs/>
          <w:sz w:val="28"/>
          <w:szCs w:val="28"/>
        </w:rPr>
        <w:t>Predicting TCR specificity from sequence alone is the holy grail of immunotherapy. TCRs</w:t>
      </w:r>
      <w:r w:rsidRPr="00DA38AA">
        <w:rPr>
          <w:rFonts w:ascii="Arial" w:hAnsi="Arial" w:cs="Arial" w:hint="eastAsia"/>
          <w:b/>
          <w:bCs/>
          <w:sz w:val="28"/>
          <w:szCs w:val="28"/>
        </w:rPr>
        <w:t xml:space="preserve"> </w:t>
      </w:r>
      <w:r w:rsidRPr="00DA38AA">
        <w:rPr>
          <w:rFonts w:ascii="Arial" w:hAnsi="Arial" w:cs="Arial"/>
          <w:b/>
          <w:bCs/>
          <w:sz w:val="28"/>
          <w:szCs w:val="28"/>
        </w:rPr>
        <w:t>that are specific to the same target, often have very similar sequences, thereby TCR</w:t>
      </w:r>
      <w:r w:rsidRPr="00DA38AA">
        <w:rPr>
          <w:rFonts w:ascii="Arial" w:hAnsi="Arial" w:cs="Arial" w:hint="eastAsia"/>
          <w:b/>
          <w:bCs/>
          <w:sz w:val="28"/>
          <w:szCs w:val="28"/>
        </w:rPr>
        <w:t xml:space="preserve"> </w:t>
      </w:r>
      <w:r w:rsidRPr="00DA38AA">
        <w:rPr>
          <w:rFonts w:ascii="Arial" w:hAnsi="Arial" w:cs="Arial"/>
          <w:b/>
          <w:bCs/>
          <w:sz w:val="28"/>
          <w:szCs w:val="28"/>
        </w:rPr>
        <w:t>sequence – target patterns emerge in the data.</w:t>
      </w:r>
    </w:p>
    <w:p w14:paraId="65D7C51D" w14:textId="04F5C8F6" w:rsidR="00CB55FA" w:rsidRDefault="00CB55FA" w:rsidP="00DA38AA">
      <w:pPr>
        <w:rPr>
          <w:rFonts w:ascii="Arial" w:hAnsi="Arial" w:cs="Arial"/>
          <w:b/>
          <w:bCs/>
          <w:sz w:val="28"/>
          <w:szCs w:val="28"/>
        </w:rPr>
      </w:pPr>
      <w:r>
        <w:rPr>
          <w:rFonts w:ascii="Arial" w:hAnsi="Arial" w:cs="Arial" w:hint="eastAsia"/>
          <w:b/>
          <w:bCs/>
          <w:sz w:val="28"/>
          <w:szCs w:val="28"/>
        </w:rPr>
        <w:t>(</w:t>
      </w:r>
      <w:r>
        <w:rPr>
          <w:rFonts w:ascii="Arial" w:hAnsi="Arial" w:cs="Arial"/>
          <w:b/>
          <w:bCs/>
          <w:sz w:val="28"/>
          <w:szCs w:val="28"/>
        </w:rPr>
        <w:t>a)</w:t>
      </w:r>
      <w:r w:rsidRPr="00CB55FA">
        <w:rPr>
          <w:rFonts w:ascii="Arial" w:hAnsi="Arial" w:cs="Arial"/>
          <w:b/>
          <w:bCs/>
          <w:sz w:val="28"/>
          <w:szCs w:val="28"/>
        </w:rPr>
        <w:t xml:space="preserve"> </w:t>
      </w:r>
      <w:r w:rsidRPr="00DA38AA">
        <w:rPr>
          <w:rFonts w:ascii="Arial" w:hAnsi="Arial" w:cs="Arial"/>
          <w:b/>
          <w:bCs/>
          <w:sz w:val="28"/>
          <w:szCs w:val="28"/>
        </w:rPr>
        <w:t>Figure out what each column represents</w:t>
      </w:r>
    </w:p>
    <w:p w14:paraId="2C069909" w14:textId="1429C6D6" w:rsidR="00CB55FA" w:rsidRDefault="00CB55FA" w:rsidP="00DA38AA">
      <w:pPr>
        <w:rPr>
          <w:rFonts w:ascii="Arial" w:hAnsi="Arial" w:cs="Arial"/>
          <w:szCs w:val="21"/>
        </w:rPr>
      </w:pPr>
      <w:r w:rsidRPr="00CB55FA">
        <w:rPr>
          <w:rFonts w:ascii="Arial" w:hAnsi="Arial" w:cs="Arial"/>
          <w:szCs w:val="21"/>
        </w:rPr>
        <w:t>By searching for some TCR-related information and reading the journal "T cell receptor sequence clustering and antigen specificity (Vujovic et al., 2020)," we became more familiar with the TCR. Below are descriptions of each column:</w:t>
      </w:r>
    </w:p>
    <w:p w14:paraId="09964EB8" w14:textId="77777777" w:rsidR="00CB55FA" w:rsidRPr="00744365" w:rsidRDefault="00CB55FA" w:rsidP="00DA38AA">
      <w:pPr>
        <w:rPr>
          <w:rFonts w:ascii="Arial" w:hAnsi="Arial" w:cs="Arial"/>
          <w:szCs w:val="21"/>
        </w:rPr>
      </w:pPr>
    </w:p>
    <w:p w14:paraId="2DE64B07" w14:textId="377F904F" w:rsidR="00DA38AA" w:rsidRPr="00C46C48" w:rsidRDefault="00C46C48" w:rsidP="00C46C48">
      <w:pPr>
        <w:pStyle w:val="a3"/>
        <w:numPr>
          <w:ilvl w:val="0"/>
          <w:numId w:val="1"/>
        </w:numPr>
        <w:ind w:firstLineChars="0"/>
        <w:rPr>
          <w:rFonts w:ascii="Arial" w:hAnsi="Arial" w:cs="Arial"/>
          <w:szCs w:val="21"/>
        </w:rPr>
      </w:pPr>
      <w:r>
        <w:rPr>
          <w:rFonts w:ascii="Arial" w:hAnsi="Arial" w:cs="Arial"/>
          <w:b/>
          <w:bCs/>
          <w:szCs w:val="21"/>
        </w:rPr>
        <w:t>c</w:t>
      </w:r>
      <w:r w:rsidR="00DA38AA" w:rsidRPr="00C46C48">
        <w:rPr>
          <w:rFonts w:ascii="Arial" w:hAnsi="Arial" w:cs="Arial"/>
          <w:b/>
          <w:bCs/>
          <w:szCs w:val="21"/>
        </w:rPr>
        <w:t>omplex.id:</w:t>
      </w:r>
      <w:r w:rsidR="00DA38AA" w:rsidRPr="00C46C48">
        <w:rPr>
          <w:rFonts w:ascii="Arial" w:hAnsi="Arial" w:cs="Arial"/>
          <w:szCs w:val="21"/>
        </w:rPr>
        <w:t xml:space="preserve"> </w:t>
      </w:r>
      <w:r w:rsidR="00D83F9A" w:rsidRPr="00C46C48">
        <w:rPr>
          <w:rFonts w:ascii="Arial" w:hAnsi="Arial" w:cs="Arial"/>
          <w:szCs w:val="21"/>
        </w:rPr>
        <w:t>A unique identifier for the complex composed of the TCR-peptide and the MHC</w:t>
      </w:r>
      <w:r w:rsidR="00DA38AA" w:rsidRPr="00C46C48">
        <w:rPr>
          <w:rFonts w:ascii="Arial" w:hAnsi="Arial" w:cs="Arial"/>
          <w:szCs w:val="21"/>
        </w:rPr>
        <w:t>.</w:t>
      </w:r>
    </w:p>
    <w:p w14:paraId="289A1F52" w14:textId="77777777" w:rsidR="001152D8" w:rsidRPr="00744365" w:rsidRDefault="001152D8" w:rsidP="00DA38AA">
      <w:pPr>
        <w:rPr>
          <w:rFonts w:ascii="Arial" w:hAnsi="Arial" w:cs="Arial"/>
          <w:szCs w:val="21"/>
        </w:rPr>
      </w:pPr>
    </w:p>
    <w:p w14:paraId="76D92694" w14:textId="4A6A2591" w:rsidR="00DA38AA" w:rsidRDefault="00C46C48" w:rsidP="00DA38AA">
      <w:pPr>
        <w:rPr>
          <w:rFonts w:ascii="Arial" w:hAnsi="Arial" w:cs="Arial"/>
          <w:szCs w:val="21"/>
        </w:rPr>
      </w:pPr>
      <w:r w:rsidRPr="00C46C48">
        <w:rPr>
          <w:rFonts w:ascii="Arial" w:hAnsi="Arial" w:cs="Arial"/>
          <w:b/>
          <w:bCs/>
          <w:szCs w:val="21"/>
        </w:rPr>
        <w:t>2.</w:t>
      </w:r>
      <w:r>
        <w:rPr>
          <w:rFonts w:ascii="Arial" w:hAnsi="Arial" w:cs="Arial"/>
          <w:b/>
          <w:bCs/>
          <w:szCs w:val="21"/>
        </w:rPr>
        <w:t xml:space="preserve">  g</w:t>
      </w:r>
      <w:r w:rsidR="00DA38AA" w:rsidRPr="00C46C48">
        <w:rPr>
          <w:rFonts w:ascii="Arial" w:hAnsi="Arial" w:cs="Arial"/>
          <w:b/>
          <w:bCs/>
          <w:szCs w:val="21"/>
        </w:rPr>
        <w:t>ene:</w:t>
      </w:r>
      <w:r w:rsidR="00DA38AA" w:rsidRPr="00744365">
        <w:rPr>
          <w:rFonts w:ascii="Arial" w:hAnsi="Arial" w:cs="Arial"/>
          <w:szCs w:val="21"/>
        </w:rPr>
        <w:t xml:space="preserve"> </w:t>
      </w:r>
      <w:r w:rsidR="001152D8" w:rsidRPr="001152D8">
        <w:rPr>
          <w:rFonts w:ascii="Arial" w:hAnsi="Arial" w:cs="Arial"/>
          <w:szCs w:val="21"/>
        </w:rPr>
        <w:t>This value indicates whether the TCR is beta (TRB) or alpha (TRA)</w:t>
      </w:r>
      <w:r w:rsidR="00DA38AA" w:rsidRPr="00744365">
        <w:rPr>
          <w:rFonts w:ascii="Arial" w:hAnsi="Arial" w:cs="Arial"/>
          <w:szCs w:val="21"/>
        </w:rPr>
        <w:t>.</w:t>
      </w:r>
    </w:p>
    <w:p w14:paraId="78BFE745" w14:textId="77777777" w:rsidR="001152D8" w:rsidRPr="00744365" w:rsidRDefault="001152D8" w:rsidP="00DA38AA">
      <w:pPr>
        <w:rPr>
          <w:rFonts w:ascii="Arial" w:hAnsi="Arial" w:cs="Arial"/>
          <w:szCs w:val="21"/>
        </w:rPr>
      </w:pPr>
    </w:p>
    <w:p w14:paraId="03A9F035" w14:textId="117651DE" w:rsidR="00DA38AA" w:rsidRDefault="00C46C48" w:rsidP="00DA38AA">
      <w:pPr>
        <w:rPr>
          <w:rFonts w:ascii="Arial" w:hAnsi="Arial" w:cs="Arial"/>
          <w:szCs w:val="21"/>
        </w:rPr>
      </w:pPr>
      <w:r w:rsidRPr="00C46C48">
        <w:rPr>
          <w:rFonts w:ascii="Arial" w:hAnsi="Arial" w:cs="Arial"/>
          <w:b/>
          <w:bCs/>
          <w:szCs w:val="21"/>
        </w:rPr>
        <w:t xml:space="preserve">3.  </w:t>
      </w:r>
      <w:r w:rsidR="00DA38AA" w:rsidRPr="00C46C48">
        <w:rPr>
          <w:rFonts w:ascii="Arial" w:hAnsi="Arial" w:cs="Arial"/>
          <w:b/>
          <w:bCs/>
          <w:szCs w:val="21"/>
        </w:rPr>
        <w:t>cdr</w:t>
      </w:r>
      <w:r w:rsidRPr="00C46C48">
        <w:rPr>
          <w:rFonts w:ascii="Arial" w:hAnsi="Arial" w:cs="Arial"/>
          <w:b/>
          <w:bCs/>
          <w:szCs w:val="21"/>
        </w:rPr>
        <w:t>3:</w:t>
      </w:r>
      <w:r w:rsidR="00DA38AA" w:rsidRPr="00744365">
        <w:rPr>
          <w:rFonts w:ascii="Arial" w:hAnsi="Arial" w:cs="Arial"/>
          <w:szCs w:val="21"/>
        </w:rPr>
        <w:t xml:space="preserve"> </w:t>
      </w:r>
      <w:r w:rsidR="001152D8" w:rsidRPr="001152D8">
        <w:rPr>
          <w:rFonts w:ascii="Arial" w:hAnsi="Arial" w:cs="Arial"/>
          <w:szCs w:val="21"/>
        </w:rPr>
        <w:t xml:space="preserve">A crucial feature of the TCR is its </w:t>
      </w:r>
      <w:r w:rsidR="001152D8">
        <w:rPr>
          <w:rFonts w:ascii="Segoe UI" w:hAnsi="Segoe UI" w:cs="Segoe UI"/>
          <w:color w:val="0D0D0D"/>
          <w:shd w:val="clear" w:color="auto" w:fill="FFFFFF"/>
        </w:rPr>
        <w:t>Complementarity-Determining Region</w:t>
      </w:r>
      <w:r w:rsidR="001152D8">
        <w:rPr>
          <w:rFonts w:ascii="Segoe UI" w:hAnsi="Segoe UI" w:cs="Segoe UI"/>
          <w:color w:val="0D0D0D"/>
          <w:shd w:val="clear" w:color="auto" w:fill="FFFFFF"/>
        </w:rPr>
        <w:t xml:space="preserve"> 3</w:t>
      </w:r>
      <w:r w:rsidR="001152D8" w:rsidRPr="001152D8">
        <w:rPr>
          <w:rFonts w:ascii="Arial" w:hAnsi="Arial" w:cs="Arial"/>
          <w:szCs w:val="21"/>
        </w:rPr>
        <w:t>, which plays an important role in its ability to recognize antigens.</w:t>
      </w:r>
    </w:p>
    <w:p w14:paraId="7F209EFE" w14:textId="77777777" w:rsidR="001152D8" w:rsidRPr="00744365" w:rsidRDefault="001152D8" w:rsidP="00DA38AA">
      <w:pPr>
        <w:rPr>
          <w:rFonts w:ascii="Arial" w:hAnsi="Arial" w:cs="Arial"/>
          <w:szCs w:val="21"/>
        </w:rPr>
      </w:pPr>
    </w:p>
    <w:p w14:paraId="2970DF39" w14:textId="3E99701E" w:rsidR="00DA38AA" w:rsidRDefault="00DD0FA5" w:rsidP="00DA38AA">
      <w:pPr>
        <w:rPr>
          <w:rFonts w:ascii="Arial" w:hAnsi="Arial" w:cs="Arial"/>
          <w:szCs w:val="21"/>
        </w:rPr>
      </w:pPr>
      <w:r w:rsidRPr="00DD0FA5">
        <w:rPr>
          <w:rFonts w:ascii="Arial" w:hAnsi="Arial" w:cs="Arial"/>
          <w:b/>
          <w:bCs/>
          <w:szCs w:val="21"/>
        </w:rPr>
        <w:t>4. “</w:t>
      </w:r>
      <w:proofErr w:type="spellStart"/>
      <w:proofErr w:type="gramStart"/>
      <w:r w:rsidR="00DA38AA" w:rsidRPr="00DD0FA5">
        <w:rPr>
          <w:rFonts w:ascii="Arial" w:hAnsi="Arial" w:cs="Arial"/>
          <w:b/>
          <w:bCs/>
          <w:szCs w:val="21"/>
        </w:rPr>
        <w:t>v.segm</w:t>
      </w:r>
      <w:proofErr w:type="spellEnd"/>
      <w:proofErr w:type="gramEnd"/>
      <w:r w:rsidRPr="00DD0FA5">
        <w:rPr>
          <w:rFonts w:ascii="Arial" w:hAnsi="Arial" w:cs="Arial"/>
          <w:b/>
          <w:bCs/>
          <w:szCs w:val="21"/>
        </w:rPr>
        <w:t>”</w:t>
      </w:r>
      <w:r w:rsidR="00DA38AA" w:rsidRPr="00DD0FA5">
        <w:rPr>
          <w:rFonts w:ascii="Arial" w:hAnsi="Arial" w:cs="Arial"/>
          <w:b/>
          <w:bCs/>
          <w:szCs w:val="21"/>
        </w:rPr>
        <w:t xml:space="preserve"> and </w:t>
      </w:r>
      <w:r w:rsidRPr="00DD0FA5">
        <w:rPr>
          <w:rFonts w:ascii="Arial" w:hAnsi="Arial" w:cs="Arial"/>
          <w:b/>
          <w:bCs/>
          <w:szCs w:val="21"/>
        </w:rPr>
        <w:t>“</w:t>
      </w:r>
      <w:proofErr w:type="spellStart"/>
      <w:r w:rsidR="00DA38AA" w:rsidRPr="00DD0FA5">
        <w:rPr>
          <w:rFonts w:ascii="Arial" w:hAnsi="Arial" w:cs="Arial"/>
          <w:b/>
          <w:bCs/>
          <w:szCs w:val="21"/>
        </w:rPr>
        <w:t>j.segm</w:t>
      </w:r>
      <w:proofErr w:type="spellEnd"/>
      <w:r w:rsidRPr="00DD0FA5">
        <w:rPr>
          <w:rFonts w:ascii="Arial" w:hAnsi="Arial" w:cs="Arial"/>
          <w:b/>
          <w:bCs/>
          <w:szCs w:val="21"/>
        </w:rPr>
        <w:t xml:space="preserve">” </w:t>
      </w:r>
      <w:r w:rsidR="00DA38AA" w:rsidRPr="00DD0FA5">
        <w:rPr>
          <w:rFonts w:ascii="Arial" w:hAnsi="Arial" w:cs="Arial"/>
          <w:b/>
          <w:bCs/>
          <w:szCs w:val="21"/>
        </w:rPr>
        <w:t xml:space="preserve">: </w:t>
      </w:r>
      <w:r w:rsidR="001152D8" w:rsidRPr="001152D8">
        <w:rPr>
          <w:rFonts w:ascii="Arial" w:hAnsi="Arial" w:cs="Arial"/>
          <w:szCs w:val="21"/>
        </w:rPr>
        <w:t>TCR gene segments include variable segments (V) and joining segments (J) that encode for TCR.</w:t>
      </w:r>
    </w:p>
    <w:p w14:paraId="57E0BCFB" w14:textId="77777777" w:rsidR="001152D8" w:rsidRPr="00744365" w:rsidRDefault="001152D8" w:rsidP="00DA38AA">
      <w:pPr>
        <w:rPr>
          <w:rFonts w:ascii="Arial" w:hAnsi="Arial" w:cs="Arial"/>
          <w:szCs w:val="21"/>
        </w:rPr>
      </w:pPr>
    </w:p>
    <w:p w14:paraId="621D21D5" w14:textId="701D67F4" w:rsidR="007A5B65" w:rsidRDefault="00DD0FA5" w:rsidP="00DA38AA">
      <w:pPr>
        <w:rPr>
          <w:rFonts w:ascii="Arial" w:hAnsi="Arial" w:cs="Arial"/>
          <w:szCs w:val="21"/>
        </w:rPr>
      </w:pPr>
      <w:r w:rsidRPr="00DD0FA5">
        <w:rPr>
          <w:rFonts w:ascii="Arial" w:hAnsi="Arial" w:cs="Arial"/>
          <w:b/>
          <w:bCs/>
          <w:szCs w:val="21"/>
        </w:rPr>
        <w:t>5. species:</w:t>
      </w:r>
      <w:r w:rsidR="00DA38AA" w:rsidRPr="00744365">
        <w:rPr>
          <w:rFonts w:ascii="Arial" w:hAnsi="Arial" w:cs="Arial"/>
          <w:szCs w:val="21"/>
        </w:rPr>
        <w:t xml:space="preserve"> </w:t>
      </w:r>
      <w:r w:rsidR="007A5B65" w:rsidRPr="007A5B65">
        <w:rPr>
          <w:rFonts w:ascii="Arial" w:hAnsi="Arial" w:cs="Arial"/>
          <w:szCs w:val="21"/>
        </w:rPr>
        <w:t>Species from which the TCR sequence was derived, for example, Homo Sapiens might be used.</w:t>
      </w:r>
    </w:p>
    <w:p w14:paraId="51566DF3" w14:textId="77777777" w:rsidR="007A5B65" w:rsidRDefault="007A5B65" w:rsidP="00DA38AA">
      <w:pPr>
        <w:rPr>
          <w:rFonts w:ascii="Arial" w:hAnsi="Arial" w:cs="Arial"/>
          <w:szCs w:val="21"/>
        </w:rPr>
      </w:pPr>
    </w:p>
    <w:p w14:paraId="59808B64" w14:textId="5ADD5F26" w:rsidR="00DA38AA" w:rsidRDefault="00DD0FA5" w:rsidP="00DA38AA">
      <w:pPr>
        <w:rPr>
          <w:rFonts w:ascii="Arial" w:hAnsi="Arial" w:cs="Arial"/>
          <w:szCs w:val="21"/>
        </w:rPr>
      </w:pPr>
      <w:r w:rsidRPr="00DD0FA5">
        <w:rPr>
          <w:rFonts w:ascii="Arial" w:hAnsi="Arial" w:cs="Arial"/>
          <w:b/>
          <w:bCs/>
          <w:szCs w:val="21"/>
        </w:rPr>
        <w:t>6. “</w:t>
      </w:r>
      <w:proofErr w:type="spellStart"/>
      <w:proofErr w:type="gramStart"/>
      <w:r w:rsidR="00DA38AA" w:rsidRPr="00DD0FA5">
        <w:rPr>
          <w:rFonts w:ascii="Arial" w:hAnsi="Arial" w:cs="Arial"/>
          <w:b/>
          <w:bCs/>
          <w:szCs w:val="21"/>
        </w:rPr>
        <w:t>mhc.a</w:t>
      </w:r>
      <w:proofErr w:type="spellEnd"/>
      <w:proofErr w:type="gramEnd"/>
      <w:r w:rsidRPr="00DD0FA5">
        <w:rPr>
          <w:rFonts w:ascii="Arial" w:hAnsi="Arial" w:cs="Arial"/>
          <w:b/>
          <w:bCs/>
          <w:szCs w:val="21"/>
        </w:rPr>
        <w:t>”</w:t>
      </w:r>
      <w:r w:rsidR="00DA38AA" w:rsidRPr="00DD0FA5">
        <w:rPr>
          <w:rFonts w:ascii="Arial" w:hAnsi="Arial" w:cs="Arial"/>
          <w:b/>
          <w:bCs/>
          <w:szCs w:val="21"/>
        </w:rPr>
        <w:t xml:space="preserve">, </w:t>
      </w:r>
      <w:r w:rsidRPr="00DD0FA5">
        <w:rPr>
          <w:rFonts w:ascii="Arial" w:hAnsi="Arial" w:cs="Arial"/>
          <w:b/>
          <w:bCs/>
          <w:szCs w:val="21"/>
        </w:rPr>
        <w:t>“</w:t>
      </w:r>
      <w:proofErr w:type="spellStart"/>
      <w:r w:rsidR="00DA38AA" w:rsidRPr="00DD0FA5">
        <w:rPr>
          <w:rFonts w:ascii="Arial" w:hAnsi="Arial" w:cs="Arial"/>
          <w:b/>
          <w:bCs/>
          <w:szCs w:val="21"/>
        </w:rPr>
        <w:t>mhc.b</w:t>
      </w:r>
      <w:proofErr w:type="spellEnd"/>
      <w:r w:rsidRPr="00DD0FA5">
        <w:rPr>
          <w:rFonts w:ascii="Arial" w:hAnsi="Arial" w:cs="Arial"/>
          <w:b/>
          <w:bCs/>
          <w:szCs w:val="21"/>
        </w:rPr>
        <w:t>”</w:t>
      </w:r>
      <w:r w:rsidR="00DA38AA" w:rsidRPr="00DD0FA5">
        <w:rPr>
          <w:rFonts w:ascii="Arial" w:hAnsi="Arial" w:cs="Arial"/>
          <w:b/>
          <w:bCs/>
          <w:szCs w:val="21"/>
        </w:rPr>
        <w:t xml:space="preserve">, and </w:t>
      </w:r>
      <w:r w:rsidRPr="00DD0FA5">
        <w:rPr>
          <w:rFonts w:ascii="Arial" w:hAnsi="Arial" w:cs="Arial"/>
          <w:b/>
          <w:bCs/>
          <w:szCs w:val="21"/>
        </w:rPr>
        <w:t>“</w:t>
      </w:r>
      <w:proofErr w:type="spellStart"/>
      <w:r w:rsidR="00DA38AA" w:rsidRPr="00DD0FA5">
        <w:rPr>
          <w:rFonts w:ascii="Arial" w:hAnsi="Arial" w:cs="Arial"/>
          <w:b/>
          <w:bCs/>
          <w:szCs w:val="21"/>
        </w:rPr>
        <w:t>mhc.class</w:t>
      </w:r>
      <w:proofErr w:type="spellEnd"/>
      <w:r w:rsidRPr="00DD0FA5">
        <w:rPr>
          <w:rFonts w:ascii="Arial" w:hAnsi="Arial" w:cs="Arial"/>
          <w:b/>
          <w:bCs/>
          <w:szCs w:val="21"/>
        </w:rPr>
        <w:t xml:space="preserve">” </w:t>
      </w:r>
      <w:r w:rsidR="00DA38AA" w:rsidRPr="00DD0FA5">
        <w:rPr>
          <w:rFonts w:ascii="Arial" w:hAnsi="Arial" w:cs="Arial"/>
          <w:b/>
          <w:bCs/>
          <w:szCs w:val="21"/>
        </w:rPr>
        <w:t xml:space="preserve">: </w:t>
      </w:r>
      <w:r w:rsidR="007A5B65" w:rsidRPr="007A5B65">
        <w:rPr>
          <w:rFonts w:ascii="Arial" w:hAnsi="Arial" w:cs="Arial"/>
          <w:szCs w:val="21"/>
        </w:rPr>
        <w:t>The MHC, which presents the antigen, provides information about that antigen's major histocompatibility complex (MHC).</w:t>
      </w:r>
    </w:p>
    <w:p w14:paraId="175A475D" w14:textId="77777777" w:rsidR="007A5B65" w:rsidRPr="00744365" w:rsidRDefault="007A5B65" w:rsidP="00DA38AA">
      <w:pPr>
        <w:rPr>
          <w:rFonts w:ascii="Arial" w:hAnsi="Arial" w:cs="Arial"/>
          <w:szCs w:val="21"/>
        </w:rPr>
      </w:pPr>
    </w:p>
    <w:p w14:paraId="337057A4" w14:textId="5EC77101" w:rsidR="00DA38AA" w:rsidRDefault="00DD0FA5" w:rsidP="00DA38AA">
      <w:pPr>
        <w:rPr>
          <w:rFonts w:ascii="Arial" w:hAnsi="Arial" w:cs="Arial"/>
          <w:szCs w:val="21"/>
        </w:rPr>
      </w:pPr>
      <w:r w:rsidRPr="00DD0FA5">
        <w:rPr>
          <w:rFonts w:ascii="Arial" w:hAnsi="Arial" w:cs="Arial"/>
          <w:b/>
          <w:bCs/>
          <w:szCs w:val="21"/>
        </w:rPr>
        <w:t>7.</w:t>
      </w:r>
      <w:r>
        <w:rPr>
          <w:rFonts w:ascii="Arial" w:hAnsi="Arial" w:cs="Arial"/>
          <w:b/>
          <w:bCs/>
          <w:szCs w:val="21"/>
        </w:rPr>
        <w:t xml:space="preserve"> </w:t>
      </w:r>
      <w:proofErr w:type="gramStart"/>
      <w:r w:rsidR="00DA38AA" w:rsidRPr="00DD0FA5">
        <w:rPr>
          <w:rFonts w:ascii="Arial" w:hAnsi="Arial" w:cs="Arial"/>
          <w:b/>
          <w:bCs/>
          <w:szCs w:val="21"/>
        </w:rPr>
        <w:t>antigen.epitope</w:t>
      </w:r>
      <w:proofErr w:type="gramEnd"/>
      <w:r w:rsidR="00DA38AA" w:rsidRPr="00DD0FA5">
        <w:rPr>
          <w:rFonts w:ascii="Arial" w:hAnsi="Arial" w:cs="Arial"/>
          <w:b/>
          <w:bCs/>
          <w:szCs w:val="21"/>
        </w:rPr>
        <w:t xml:space="preserve">: </w:t>
      </w:r>
      <w:r w:rsidR="00DA38AA" w:rsidRPr="00744365">
        <w:rPr>
          <w:rFonts w:ascii="Arial" w:hAnsi="Arial" w:cs="Arial"/>
          <w:szCs w:val="21"/>
        </w:rPr>
        <w:t>The epitope (peptide sequence) recognized by the TCR.</w:t>
      </w:r>
    </w:p>
    <w:p w14:paraId="588DF4CA" w14:textId="77777777" w:rsidR="007A5B65" w:rsidRPr="00744365" w:rsidRDefault="007A5B65" w:rsidP="00DA38AA">
      <w:pPr>
        <w:rPr>
          <w:rFonts w:ascii="Arial" w:hAnsi="Arial" w:cs="Arial"/>
          <w:szCs w:val="21"/>
        </w:rPr>
      </w:pPr>
    </w:p>
    <w:p w14:paraId="77DF0006" w14:textId="75A1F55C" w:rsidR="00DA38AA" w:rsidRDefault="00DD0FA5" w:rsidP="00DA38AA">
      <w:pPr>
        <w:rPr>
          <w:rFonts w:ascii="Arial" w:hAnsi="Arial" w:cs="Arial"/>
          <w:szCs w:val="21"/>
        </w:rPr>
      </w:pPr>
      <w:r w:rsidRPr="00DD0FA5">
        <w:rPr>
          <w:rFonts w:ascii="Arial" w:hAnsi="Arial" w:cs="Arial"/>
          <w:b/>
          <w:bCs/>
          <w:szCs w:val="21"/>
        </w:rPr>
        <w:t>8.</w:t>
      </w:r>
      <w:r>
        <w:rPr>
          <w:rFonts w:ascii="Arial" w:hAnsi="Arial" w:cs="Arial"/>
          <w:b/>
          <w:bCs/>
          <w:szCs w:val="21"/>
        </w:rPr>
        <w:t xml:space="preserve"> “</w:t>
      </w:r>
      <w:proofErr w:type="spellStart"/>
      <w:proofErr w:type="gramStart"/>
      <w:r w:rsidR="00DA38AA" w:rsidRPr="00DD0FA5">
        <w:rPr>
          <w:rFonts w:ascii="Arial" w:hAnsi="Arial" w:cs="Arial"/>
          <w:b/>
          <w:bCs/>
          <w:szCs w:val="21"/>
        </w:rPr>
        <w:t>antigen.gene</w:t>
      </w:r>
      <w:proofErr w:type="spellEnd"/>
      <w:proofErr w:type="gramEnd"/>
      <w:r w:rsidRPr="00DD0FA5">
        <w:rPr>
          <w:rFonts w:ascii="Arial" w:hAnsi="Arial" w:cs="Arial"/>
          <w:b/>
          <w:bCs/>
          <w:szCs w:val="21"/>
        </w:rPr>
        <w:t>”</w:t>
      </w:r>
      <w:r w:rsidR="00DA38AA" w:rsidRPr="00DD0FA5">
        <w:rPr>
          <w:rFonts w:ascii="Arial" w:hAnsi="Arial" w:cs="Arial"/>
          <w:b/>
          <w:bCs/>
          <w:szCs w:val="21"/>
        </w:rPr>
        <w:t xml:space="preserve">, </w:t>
      </w:r>
      <w:r w:rsidRPr="00DD0FA5">
        <w:rPr>
          <w:rFonts w:ascii="Arial" w:hAnsi="Arial" w:cs="Arial"/>
          <w:b/>
          <w:bCs/>
          <w:szCs w:val="21"/>
        </w:rPr>
        <w:t>“</w:t>
      </w:r>
      <w:proofErr w:type="spellStart"/>
      <w:r w:rsidR="00DA38AA" w:rsidRPr="00DD0FA5">
        <w:rPr>
          <w:rFonts w:ascii="Arial" w:hAnsi="Arial" w:cs="Arial"/>
          <w:b/>
          <w:bCs/>
          <w:szCs w:val="21"/>
        </w:rPr>
        <w:t>antigen.species</w:t>
      </w:r>
      <w:proofErr w:type="spellEnd"/>
      <w:r w:rsidRPr="00DD0FA5">
        <w:rPr>
          <w:rFonts w:ascii="Arial" w:hAnsi="Arial" w:cs="Arial"/>
          <w:b/>
          <w:bCs/>
          <w:szCs w:val="21"/>
        </w:rPr>
        <w:t>”</w:t>
      </w:r>
      <w:r w:rsidR="00DA38AA" w:rsidRPr="00DD0FA5">
        <w:rPr>
          <w:rFonts w:ascii="Arial" w:hAnsi="Arial" w:cs="Arial"/>
          <w:b/>
          <w:bCs/>
          <w:szCs w:val="21"/>
        </w:rPr>
        <w:t>:</w:t>
      </w:r>
      <w:r w:rsidR="00DA38AA" w:rsidRPr="00744365">
        <w:rPr>
          <w:rFonts w:ascii="Arial" w:hAnsi="Arial" w:cs="Arial"/>
          <w:szCs w:val="21"/>
        </w:rPr>
        <w:t xml:space="preserve"> </w:t>
      </w:r>
      <w:r w:rsidR="007A5B65" w:rsidRPr="007A5B65">
        <w:rPr>
          <w:rFonts w:ascii="Arial" w:hAnsi="Arial" w:cs="Arial"/>
          <w:szCs w:val="21"/>
        </w:rPr>
        <w:t>An indication of the gene and species from which the antigen has been derived</w:t>
      </w:r>
      <w:r w:rsidR="00DA38AA" w:rsidRPr="00744365">
        <w:rPr>
          <w:rFonts w:ascii="Arial" w:hAnsi="Arial" w:cs="Arial"/>
          <w:szCs w:val="21"/>
        </w:rPr>
        <w:t>.</w:t>
      </w:r>
    </w:p>
    <w:p w14:paraId="2E91CB98" w14:textId="77777777" w:rsidR="007A5B65" w:rsidRPr="00744365" w:rsidRDefault="007A5B65" w:rsidP="00DA38AA">
      <w:pPr>
        <w:rPr>
          <w:rFonts w:ascii="Arial" w:hAnsi="Arial" w:cs="Arial"/>
          <w:szCs w:val="21"/>
        </w:rPr>
      </w:pPr>
    </w:p>
    <w:p w14:paraId="4110D107" w14:textId="419397A3" w:rsidR="00DA38AA" w:rsidRDefault="00DD0FA5" w:rsidP="00DA38AA">
      <w:pPr>
        <w:rPr>
          <w:rFonts w:ascii="Arial" w:hAnsi="Arial" w:cs="Arial"/>
          <w:szCs w:val="21"/>
        </w:rPr>
      </w:pPr>
      <w:r w:rsidRPr="00DD0FA5">
        <w:rPr>
          <w:rFonts w:ascii="Arial" w:hAnsi="Arial" w:cs="Arial"/>
          <w:b/>
          <w:bCs/>
          <w:szCs w:val="21"/>
        </w:rPr>
        <w:t xml:space="preserve">9. </w:t>
      </w:r>
      <w:r>
        <w:rPr>
          <w:rFonts w:ascii="Arial" w:hAnsi="Arial" w:cs="Arial"/>
          <w:b/>
          <w:bCs/>
          <w:szCs w:val="21"/>
        </w:rPr>
        <w:t>“</w:t>
      </w:r>
      <w:r w:rsidR="00DA38AA" w:rsidRPr="00DD0FA5">
        <w:rPr>
          <w:rFonts w:ascii="Arial" w:hAnsi="Arial" w:cs="Arial"/>
          <w:b/>
          <w:bCs/>
          <w:szCs w:val="21"/>
        </w:rPr>
        <w:t>reference.id</w:t>
      </w:r>
      <w:r w:rsidRPr="00DD0FA5">
        <w:rPr>
          <w:rFonts w:ascii="Arial" w:hAnsi="Arial" w:cs="Arial"/>
          <w:b/>
          <w:bCs/>
          <w:szCs w:val="21"/>
        </w:rPr>
        <w:t>”</w:t>
      </w:r>
      <w:r w:rsidR="00DA38AA" w:rsidRPr="00DD0FA5">
        <w:rPr>
          <w:rFonts w:ascii="Arial" w:hAnsi="Arial" w:cs="Arial"/>
          <w:b/>
          <w:bCs/>
          <w:szCs w:val="21"/>
        </w:rPr>
        <w:t xml:space="preserve">: </w:t>
      </w:r>
      <w:r w:rsidR="00DA38AA" w:rsidRPr="00744365">
        <w:rPr>
          <w:rFonts w:ascii="Arial" w:hAnsi="Arial" w:cs="Arial"/>
          <w:szCs w:val="21"/>
        </w:rPr>
        <w:t>Reference identifier, often a PubMed ID, for the source of the information.</w:t>
      </w:r>
    </w:p>
    <w:p w14:paraId="43C23DD6" w14:textId="77777777" w:rsidR="007A5B65" w:rsidRPr="00744365" w:rsidRDefault="007A5B65" w:rsidP="00DA38AA">
      <w:pPr>
        <w:rPr>
          <w:rFonts w:ascii="Arial" w:hAnsi="Arial" w:cs="Arial"/>
          <w:szCs w:val="21"/>
        </w:rPr>
      </w:pPr>
    </w:p>
    <w:p w14:paraId="3D2FD448" w14:textId="657B2FEE" w:rsidR="00DA38AA" w:rsidRPr="00744365" w:rsidRDefault="00DD0FA5" w:rsidP="00DA38AA">
      <w:pPr>
        <w:rPr>
          <w:rFonts w:ascii="Arial" w:hAnsi="Arial" w:cs="Arial"/>
          <w:szCs w:val="21"/>
        </w:rPr>
      </w:pPr>
      <w:r w:rsidRPr="00DD0FA5">
        <w:rPr>
          <w:rFonts w:ascii="Arial" w:hAnsi="Arial" w:cs="Arial"/>
          <w:b/>
          <w:bCs/>
          <w:szCs w:val="21"/>
        </w:rPr>
        <w:t xml:space="preserve">10. </w:t>
      </w:r>
      <w:r w:rsidR="00DA38AA" w:rsidRPr="00DD0FA5">
        <w:rPr>
          <w:rFonts w:ascii="Arial" w:hAnsi="Arial" w:cs="Arial"/>
          <w:b/>
          <w:bCs/>
          <w:szCs w:val="21"/>
        </w:rPr>
        <w:t>method:</w:t>
      </w:r>
      <w:r w:rsidR="00DA38AA" w:rsidRPr="00744365">
        <w:rPr>
          <w:rFonts w:ascii="Arial" w:hAnsi="Arial" w:cs="Arial"/>
          <w:szCs w:val="21"/>
        </w:rPr>
        <w:t xml:space="preserve"> </w:t>
      </w:r>
      <w:r w:rsidR="00E27D29" w:rsidRPr="00E27D29">
        <w:rPr>
          <w:rFonts w:ascii="Arial" w:hAnsi="Arial" w:cs="Arial"/>
          <w:szCs w:val="21"/>
        </w:rPr>
        <w:t>A description of the method used to determine TCR specificity is provided.</w:t>
      </w:r>
    </w:p>
    <w:p w14:paraId="6EEFA6B8" w14:textId="3A098205" w:rsidR="00DA38AA" w:rsidRDefault="00DD0FA5" w:rsidP="00DA38AA">
      <w:pPr>
        <w:rPr>
          <w:rFonts w:ascii="Arial" w:hAnsi="Arial" w:cs="Arial"/>
          <w:szCs w:val="21"/>
        </w:rPr>
      </w:pPr>
      <w:r w:rsidRPr="00DD0FA5">
        <w:rPr>
          <w:rFonts w:ascii="Arial" w:hAnsi="Arial" w:cs="Arial"/>
          <w:b/>
          <w:bCs/>
          <w:szCs w:val="21"/>
        </w:rPr>
        <w:t>11.</w:t>
      </w:r>
      <w:r>
        <w:rPr>
          <w:rFonts w:ascii="Arial" w:hAnsi="Arial" w:cs="Arial"/>
          <w:b/>
          <w:bCs/>
          <w:szCs w:val="21"/>
        </w:rPr>
        <w:t xml:space="preserve"> </w:t>
      </w:r>
      <w:r w:rsidR="00DA38AA" w:rsidRPr="00DD0FA5">
        <w:rPr>
          <w:rFonts w:ascii="Arial" w:hAnsi="Arial" w:cs="Arial"/>
          <w:b/>
          <w:bCs/>
          <w:szCs w:val="21"/>
        </w:rPr>
        <w:t>meta:</w:t>
      </w:r>
      <w:r w:rsidR="00DA38AA" w:rsidRPr="00744365">
        <w:rPr>
          <w:rFonts w:ascii="Arial" w:hAnsi="Arial" w:cs="Arial"/>
          <w:szCs w:val="21"/>
        </w:rPr>
        <w:t xml:space="preserve"> </w:t>
      </w:r>
      <w:r w:rsidR="00E27D29" w:rsidRPr="00E27D29">
        <w:rPr>
          <w:rFonts w:ascii="Arial" w:hAnsi="Arial" w:cs="Arial"/>
          <w:szCs w:val="21"/>
        </w:rPr>
        <w:t>Information about the cell subset, donor information, etc., contained in the metadata</w:t>
      </w:r>
      <w:r w:rsidR="00DA38AA" w:rsidRPr="00744365">
        <w:rPr>
          <w:rFonts w:ascii="Arial" w:hAnsi="Arial" w:cs="Arial"/>
          <w:szCs w:val="21"/>
        </w:rPr>
        <w:t>.</w:t>
      </w:r>
    </w:p>
    <w:p w14:paraId="045A17AC" w14:textId="77777777" w:rsidR="00E27D29" w:rsidRPr="00744365" w:rsidRDefault="00E27D29" w:rsidP="00DA38AA">
      <w:pPr>
        <w:rPr>
          <w:rFonts w:ascii="Arial" w:hAnsi="Arial" w:cs="Arial"/>
          <w:szCs w:val="21"/>
        </w:rPr>
      </w:pPr>
    </w:p>
    <w:p w14:paraId="7ADBD581" w14:textId="28B724D7" w:rsidR="00DA38AA" w:rsidRDefault="00DD0FA5" w:rsidP="00DA38AA">
      <w:pPr>
        <w:rPr>
          <w:rFonts w:ascii="Arial" w:hAnsi="Arial" w:cs="Arial"/>
          <w:szCs w:val="21"/>
        </w:rPr>
      </w:pPr>
      <w:r w:rsidRPr="00DD0FA5">
        <w:rPr>
          <w:rFonts w:ascii="Arial" w:hAnsi="Arial" w:cs="Arial"/>
          <w:b/>
          <w:bCs/>
          <w:szCs w:val="21"/>
        </w:rPr>
        <w:t xml:space="preserve">12. </w:t>
      </w:r>
      <w:r w:rsidR="00DA38AA" w:rsidRPr="00DD0FA5">
        <w:rPr>
          <w:rFonts w:ascii="Arial" w:hAnsi="Arial" w:cs="Arial"/>
          <w:b/>
          <w:bCs/>
          <w:szCs w:val="21"/>
        </w:rPr>
        <w:t>cdr3fix:</w:t>
      </w:r>
      <w:r w:rsidR="00DA38AA" w:rsidRPr="00744365">
        <w:rPr>
          <w:rFonts w:ascii="Arial" w:hAnsi="Arial" w:cs="Arial"/>
          <w:szCs w:val="21"/>
        </w:rPr>
        <w:t xml:space="preserve"> </w:t>
      </w:r>
      <w:r w:rsidR="00E27D29" w:rsidRPr="00E27D29">
        <w:rPr>
          <w:rFonts w:ascii="Arial" w:hAnsi="Arial" w:cs="Arial"/>
          <w:szCs w:val="21"/>
        </w:rPr>
        <w:t>The sequences of CDR3 have been corrected or confirmed</w:t>
      </w:r>
      <w:r w:rsidR="00DA38AA" w:rsidRPr="00744365">
        <w:rPr>
          <w:rFonts w:ascii="Arial" w:hAnsi="Arial" w:cs="Arial"/>
          <w:szCs w:val="21"/>
        </w:rPr>
        <w:t>.</w:t>
      </w:r>
    </w:p>
    <w:p w14:paraId="1CC22311" w14:textId="77777777" w:rsidR="00E27D29" w:rsidRPr="00E27D29" w:rsidRDefault="00E27D29" w:rsidP="00DA38AA">
      <w:pPr>
        <w:rPr>
          <w:rFonts w:ascii="Arial" w:hAnsi="Arial" w:cs="Arial"/>
          <w:szCs w:val="21"/>
        </w:rPr>
      </w:pPr>
    </w:p>
    <w:p w14:paraId="5E9AAF05" w14:textId="7FB41F3E" w:rsidR="00DA38AA" w:rsidRDefault="00DD0FA5" w:rsidP="00DA38AA">
      <w:pPr>
        <w:rPr>
          <w:rFonts w:ascii="Arial" w:hAnsi="Arial" w:cs="Arial"/>
          <w:szCs w:val="21"/>
        </w:rPr>
      </w:pPr>
      <w:r w:rsidRPr="00DD0FA5">
        <w:rPr>
          <w:rFonts w:ascii="Arial" w:hAnsi="Arial" w:cs="Arial"/>
          <w:b/>
          <w:bCs/>
          <w:szCs w:val="21"/>
        </w:rPr>
        <w:t xml:space="preserve">13. </w:t>
      </w:r>
      <w:proofErr w:type="spellStart"/>
      <w:proofErr w:type="gramStart"/>
      <w:r w:rsidR="00DA38AA" w:rsidRPr="00DD0FA5">
        <w:rPr>
          <w:rFonts w:ascii="Arial" w:hAnsi="Arial" w:cs="Arial"/>
          <w:b/>
          <w:bCs/>
          <w:szCs w:val="21"/>
        </w:rPr>
        <w:t>vdjdb.score</w:t>
      </w:r>
      <w:proofErr w:type="spellEnd"/>
      <w:proofErr w:type="gramEnd"/>
      <w:r w:rsidR="00DA38AA" w:rsidRPr="00DD0FA5">
        <w:rPr>
          <w:rFonts w:ascii="Arial" w:hAnsi="Arial" w:cs="Arial"/>
          <w:b/>
          <w:bCs/>
          <w:szCs w:val="21"/>
        </w:rPr>
        <w:t>:</w:t>
      </w:r>
      <w:r w:rsidR="00DA38AA" w:rsidRPr="00744365">
        <w:rPr>
          <w:rFonts w:ascii="Arial" w:hAnsi="Arial" w:cs="Arial"/>
          <w:szCs w:val="21"/>
        </w:rPr>
        <w:t xml:space="preserve"> </w:t>
      </w:r>
      <w:r w:rsidR="00E27D29" w:rsidRPr="00E27D29">
        <w:rPr>
          <w:rFonts w:ascii="Arial" w:hAnsi="Arial" w:cs="Arial"/>
          <w:szCs w:val="21"/>
        </w:rPr>
        <w:t>Scores indicating how reliable the data provided by TCR are.</w:t>
      </w:r>
    </w:p>
    <w:p w14:paraId="75254443" w14:textId="77777777" w:rsidR="00E27D29" w:rsidRPr="00744365" w:rsidRDefault="00E27D29" w:rsidP="00DA38AA">
      <w:pPr>
        <w:rPr>
          <w:rFonts w:ascii="Arial" w:hAnsi="Arial" w:cs="Arial"/>
          <w:szCs w:val="21"/>
        </w:rPr>
      </w:pPr>
    </w:p>
    <w:p w14:paraId="038F0B60" w14:textId="1D4B2154" w:rsidR="00DA38AA" w:rsidRDefault="00DD0FA5" w:rsidP="00DA38AA">
      <w:pPr>
        <w:rPr>
          <w:rFonts w:ascii="Arial" w:hAnsi="Arial" w:cs="Arial"/>
          <w:szCs w:val="21"/>
        </w:rPr>
      </w:pPr>
      <w:r w:rsidRPr="00DD0FA5">
        <w:rPr>
          <w:rFonts w:ascii="Arial" w:hAnsi="Arial" w:cs="Arial"/>
          <w:b/>
          <w:bCs/>
          <w:szCs w:val="21"/>
        </w:rPr>
        <w:t xml:space="preserve">14. </w:t>
      </w:r>
      <w:r>
        <w:rPr>
          <w:rFonts w:ascii="Arial" w:hAnsi="Arial" w:cs="Arial"/>
          <w:b/>
          <w:bCs/>
          <w:szCs w:val="21"/>
        </w:rPr>
        <w:t>“</w:t>
      </w:r>
      <w:proofErr w:type="spellStart"/>
      <w:proofErr w:type="gramStart"/>
      <w:r w:rsidR="00DA38AA" w:rsidRPr="00DD0FA5">
        <w:rPr>
          <w:rFonts w:ascii="Arial" w:hAnsi="Arial" w:cs="Arial"/>
          <w:b/>
          <w:bCs/>
          <w:szCs w:val="21"/>
        </w:rPr>
        <w:t>web.method</w:t>
      </w:r>
      <w:proofErr w:type="spellEnd"/>
      <w:proofErr w:type="gramEnd"/>
      <w:r w:rsidRPr="00DD0FA5">
        <w:rPr>
          <w:rFonts w:ascii="Arial" w:hAnsi="Arial" w:cs="Arial"/>
          <w:b/>
          <w:bCs/>
          <w:szCs w:val="21"/>
        </w:rPr>
        <w:t>”</w:t>
      </w:r>
      <w:r w:rsidR="00DA38AA" w:rsidRPr="00DD0FA5">
        <w:rPr>
          <w:rFonts w:ascii="Arial" w:hAnsi="Arial" w:cs="Arial"/>
          <w:b/>
          <w:bCs/>
          <w:szCs w:val="21"/>
        </w:rPr>
        <w:t>,</w:t>
      </w:r>
      <w:r>
        <w:rPr>
          <w:rFonts w:ascii="Arial" w:hAnsi="Arial" w:cs="Arial"/>
          <w:b/>
          <w:bCs/>
          <w:szCs w:val="21"/>
        </w:rPr>
        <w:t xml:space="preserve"> “</w:t>
      </w:r>
      <w:proofErr w:type="spellStart"/>
      <w:r w:rsidR="00DA38AA" w:rsidRPr="00DD0FA5">
        <w:rPr>
          <w:rFonts w:ascii="Arial" w:hAnsi="Arial" w:cs="Arial"/>
          <w:b/>
          <w:bCs/>
          <w:szCs w:val="21"/>
        </w:rPr>
        <w:t>web.method.seq</w:t>
      </w:r>
      <w:proofErr w:type="spellEnd"/>
      <w:r w:rsidRPr="00DD0FA5">
        <w:rPr>
          <w:rFonts w:ascii="Arial" w:hAnsi="Arial" w:cs="Arial"/>
          <w:b/>
          <w:bCs/>
          <w:szCs w:val="21"/>
        </w:rPr>
        <w:t>”</w:t>
      </w:r>
      <w:r w:rsidR="00DA38AA" w:rsidRPr="00DD0FA5">
        <w:rPr>
          <w:rFonts w:ascii="Arial" w:hAnsi="Arial" w:cs="Arial"/>
          <w:b/>
          <w:bCs/>
          <w:szCs w:val="21"/>
        </w:rPr>
        <w:t xml:space="preserve">, </w:t>
      </w:r>
      <w:r w:rsidRPr="00DD0FA5">
        <w:rPr>
          <w:rFonts w:ascii="Arial" w:hAnsi="Arial" w:cs="Arial"/>
          <w:b/>
          <w:bCs/>
          <w:szCs w:val="21"/>
        </w:rPr>
        <w:t>“</w:t>
      </w:r>
      <w:r w:rsidR="00DA38AA" w:rsidRPr="00DD0FA5">
        <w:rPr>
          <w:rFonts w:ascii="Arial" w:hAnsi="Arial" w:cs="Arial"/>
          <w:b/>
          <w:bCs/>
          <w:szCs w:val="21"/>
        </w:rPr>
        <w:t>web.cdr3fix.nc</w:t>
      </w:r>
      <w:r w:rsidRPr="00DD0FA5">
        <w:rPr>
          <w:rFonts w:ascii="Arial" w:hAnsi="Arial" w:cs="Arial"/>
          <w:b/>
          <w:bCs/>
          <w:szCs w:val="21"/>
        </w:rPr>
        <w:t>”</w:t>
      </w:r>
      <w:r w:rsidR="00DA38AA" w:rsidRPr="00DD0FA5">
        <w:rPr>
          <w:rFonts w:ascii="Arial" w:hAnsi="Arial" w:cs="Arial"/>
          <w:b/>
          <w:bCs/>
          <w:szCs w:val="21"/>
        </w:rPr>
        <w:t xml:space="preserve">, </w:t>
      </w:r>
      <w:r w:rsidRPr="00DD0FA5">
        <w:rPr>
          <w:rFonts w:ascii="Arial" w:hAnsi="Arial" w:cs="Arial"/>
          <w:b/>
          <w:bCs/>
          <w:szCs w:val="21"/>
        </w:rPr>
        <w:t>“</w:t>
      </w:r>
      <w:r w:rsidR="00DA38AA" w:rsidRPr="00DD0FA5">
        <w:rPr>
          <w:rFonts w:ascii="Arial" w:hAnsi="Arial" w:cs="Arial"/>
          <w:b/>
          <w:bCs/>
          <w:szCs w:val="21"/>
        </w:rPr>
        <w:t>web.cdr3fix.unmp</w:t>
      </w:r>
      <w:r w:rsidRPr="00DD0FA5">
        <w:rPr>
          <w:rFonts w:ascii="Arial" w:hAnsi="Arial" w:cs="Arial"/>
          <w:b/>
          <w:bCs/>
          <w:szCs w:val="21"/>
        </w:rPr>
        <w:t>”</w:t>
      </w:r>
      <w:r w:rsidR="00DA38AA" w:rsidRPr="00DD0FA5">
        <w:rPr>
          <w:rFonts w:ascii="Arial" w:hAnsi="Arial" w:cs="Arial"/>
          <w:b/>
          <w:bCs/>
          <w:szCs w:val="21"/>
        </w:rPr>
        <w:t xml:space="preserve">: </w:t>
      </w:r>
      <w:r w:rsidR="00E27D29" w:rsidRPr="00E27D29">
        <w:rPr>
          <w:rFonts w:ascii="Arial" w:hAnsi="Arial" w:cs="Arial"/>
          <w:szCs w:val="21"/>
        </w:rPr>
        <w:t>The details related to the how the data was processed or validated before being presented on the web.</w:t>
      </w:r>
    </w:p>
    <w:p w14:paraId="491F1238" w14:textId="77777777" w:rsidR="00E27D29" w:rsidRPr="00744365" w:rsidRDefault="00E27D29" w:rsidP="00DA38AA">
      <w:pPr>
        <w:rPr>
          <w:rFonts w:ascii="Arial" w:hAnsi="Arial" w:cs="Arial"/>
          <w:szCs w:val="21"/>
        </w:rPr>
      </w:pPr>
    </w:p>
    <w:p w14:paraId="13339B69" w14:textId="28CEF837" w:rsidR="00DA38AA" w:rsidRDefault="00F47BC5" w:rsidP="00F47BC5">
      <w:pPr>
        <w:rPr>
          <w:rFonts w:ascii="Arial" w:hAnsi="Arial" w:cs="Arial"/>
          <w:szCs w:val="21"/>
        </w:rPr>
      </w:pPr>
      <w:r w:rsidRPr="00F47BC5">
        <w:rPr>
          <w:rFonts w:ascii="Arial" w:hAnsi="Arial" w:cs="Arial"/>
          <w:szCs w:val="21"/>
        </w:rPr>
        <w:t>The dataset can be used for studying the specificity of TCR sequences in response to particular antigens as well as variability in their response. As a result, this has important implications for the study of immune responses and the development of immunotherapies.</w:t>
      </w:r>
    </w:p>
    <w:p w14:paraId="0D3445C6" w14:textId="77777777" w:rsidR="00235BC7" w:rsidRDefault="00235BC7" w:rsidP="00F47BC5">
      <w:pPr>
        <w:rPr>
          <w:rFonts w:ascii="Arial" w:hAnsi="Arial" w:cs="Arial"/>
          <w:szCs w:val="21"/>
        </w:rPr>
      </w:pPr>
    </w:p>
    <w:p w14:paraId="2B0205CB" w14:textId="65666631" w:rsidR="00C46C48" w:rsidRPr="00C46C48" w:rsidRDefault="00235BC7" w:rsidP="00C46C48">
      <w:pPr>
        <w:rPr>
          <w:rFonts w:ascii="Arial" w:hAnsi="Arial" w:cs="Arial"/>
          <w:b/>
          <w:bCs/>
          <w:sz w:val="28"/>
          <w:szCs w:val="28"/>
        </w:rPr>
      </w:pPr>
      <w:r w:rsidRPr="00C46C48">
        <w:rPr>
          <w:rFonts w:ascii="Arial" w:hAnsi="Arial" w:cs="Arial" w:hint="eastAsia"/>
          <w:b/>
          <w:bCs/>
          <w:sz w:val="28"/>
          <w:szCs w:val="28"/>
        </w:rPr>
        <w:t>(</w:t>
      </w:r>
      <w:r w:rsidRPr="00C46C48">
        <w:rPr>
          <w:rFonts w:ascii="Arial" w:hAnsi="Arial" w:cs="Arial"/>
          <w:b/>
          <w:bCs/>
          <w:sz w:val="28"/>
          <w:szCs w:val="28"/>
        </w:rPr>
        <w:t>b)</w:t>
      </w:r>
      <w:r w:rsidR="00C46C48" w:rsidRPr="00C46C48">
        <w:rPr>
          <w:b/>
          <w:bCs/>
          <w:sz w:val="28"/>
          <w:szCs w:val="28"/>
        </w:rPr>
        <w:t xml:space="preserve"> </w:t>
      </w:r>
      <w:r w:rsidR="00C46C48" w:rsidRPr="00C46C48">
        <w:rPr>
          <w:rFonts w:ascii="Arial" w:hAnsi="Arial" w:cs="Arial"/>
          <w:b/>
          <w:bCs/>
          <w:sz w:val="28"/>
          <w:szCs w:val="28"/>
        </w:rPr>
        <w:t>Data Cleaning</w:t>
      </w:r>
    </w:p>
    <w:p w14:paraId="08B2B786" w14:textId="2C08E165" w:rsidR="00B3494D" w:rsidRDefault="003E75A2" w:rsidP="00B3494D">
      <w:pPr>
        <w:rPr>
          <w:rFonts w:ascii="Arial" w:hAnsi="Arial" w:cs="Arial"/>
          <w:szCs w:val="21"/>
        </w:rPr>
      </w:pPr>
      <w:r w:rsidRPr="003E75A2">
        <w:rPr>
          <w:rFonts w:ascii="Arial" w:hAnsi="Arial" w:cs="Arial"/>
          <w:szCs w:val="21"/>
        </w:rPr>
        <w:t>In order to perform the task of predicting TCR specificity using sequence data, we should choose columns that provide information directly related to the sequences of TCR antigens, their targets antigens, and possibly the contexts where these antigens interacted with MHC molecules.</w:t>
      </w:r>
    </w:p>
    <w:p w14:paraId="5E7C9DD3" w14:textId="77777777" w:rsidR="003E75A2" w:rsidRDefault="003E75A2" w:rsidP="00B3494D">
      <w:pPr>
        <w:rPr>
          <w:rFonts w:ascii="Arial" w:hAnsi="Arial" w:cs="Arial"/>
          <w:szCs w:val="21"/>
        </w:rPr>
      </w:pPr>
    </w:p>
    <w:p w14:paraId="180C3325" w14:textId="15032C2B" w:rsidR="003E75A2" w:rsidRDefault="003E75A2" w:rsidP="00B3494D">
      <w:pPr>
        <w:rPr>
          <w:rFonts w:ascii="Arial" w:hAnsi="Arial" w:cs="Arial"/>
          <w:szCs w:val="21"/>
        </w:rPr>
      </w:pPr>
      <w:r w:rsidRPr="003E75A2">
        <w:rPr>
          <w:rFonts w:ascii="Arial" w:hAnsi="Arial" w:cs="Arial"/>
          <w:szCs w:val="21"/>
        </w:rPr>
        <w:t>The following operations need to be performed on the data:</w:t>
      </w:r>
    </w:p>
    <w:p w14:paraId="774B01E9" w14:textId="77777777" w:rsidR="003E75A2" w:rsidRPr="00B3494D" w:rsidRDefault="003E75A2" w:rsidP="00B3494D">
      <w:pPr>
        <w:rPr>
          <w:rFonts w:ascii="Arial" w:hAnsi="Arial" w:cs="Arial"/>
          <w:szCs w:val="21"/>
        </w:rPr>
      </w:pPr>
    </w:p>
    <w:p w14:paraId="4B374CAC" w14:textId="5AD67F4A" w:rsidR="00B3494D" w:rsidRPr="003E75A2" w:rsidRDefault="00B3494D" w:rsidP="003E75A2">
      <w:pPr>
        <w:pStyle w:val="a3"/>
        <w:numPr>
          <w:ilvl w:val="0"/>
          <w:numId w:val="2"/>
        </w:numPr>
        <w:ind w:firstLineChars="0"/>
        <w:rPr>
          <w:rFonts w:ascii="Arial" w:hAnsi="Arial" w:cs="Arial"/>
          <w:szCs w:val="21"/>
        </w:rPr>
      </w:pPr>
      <w:r w:rsidRPr="003E75A2">
        <w:rPr>
          <w:rFonts w:ascii="Arial" w:hAnsi="Arial" w:cs="Arial"/>
          <w:b/>
          <w:bCs/>
          <w:szCs w:val="21"/>
        </w:rPr>
        <w:t>Keep Relevant Columns:</w:t>
      </w:r>
      <w:r w:rsidRPr="003E75A2">
        <w:rPr>
          <w:rFonts w:ascii="Arial" w:hAnsi="Arial" w:cs="Arial"/>
          <w:szCs w:val="21"/>
        </w:rPr>
        <w:t xml:space="preserve"> </w:t>
      </w:r>
      <w:r w:rsidR="003E75A2" w:rsidRPr="003E75A2">
        <w:rPr>
          <w:rFonts w:ascii="Arial" w:hAnsi="Arial" w:cs="Arial"/>
          <w:szCs w:val="21"/>
        </w:rPr>
        <w:t>In order to accomplish the project's goal and the provided dataset, the columns that are listed below are very important.</w:t>
      </w:r>
    </w:p>
    <w:p w14:paraId="06C5518F" w14:textId="77777777" w:rsidR="003E75A2" w:rsidRPr="003E75A2" w:rsidRDefault="003E75A2" w:rsidP="003E75A2">
      <w:pPr>
        <w:pStyle w:val="a3"/>
        <w:ind w:left="360" w:firstLineChars="0" w:firstLine="0"/>
        <w:rPr>
          <w:rFonts w:ascii="Arial" w:hAnsi="Arial" w:cs="Arial"/>
          <w:szCs w:val="21"/>
        </w:rPr>
      </w:pPr>
    </w:p>
    <w:p w14:paraId="238536C8" w14:textId="62BEBDA4" w:rsidR="00B3494D" w:rsidRDefault="00B3494D" w:rsidP="00B3494D">
      <w:pPr>
        <w:rPr>
          <w:rFonts w:ascii="Arial" w:hAnsi="Arial" w:cs="Arial"/>
          <w:szCs w:val="21"/>
        </w:rPr>
      </w:pPr>
      <w:r w:rsidRPr="00B3494D">
        <w:rPr>
          <w:rFonts w:ascii="Arial" w:hAnsi="Arial" w:cs="Arial"/>
          <w:szCs w:val="21"/>
        </w:rPr>
        <w:t xml:space="preserve">   </w:t>
      </w:r>
      <w:r w:rsidRPr="003E75A2">
        <w:rPr>
          <w:rFonts w:ascii="Arial" w:hAnsi="Arial" w:cs="Arial"/>
          <w:b/>
          <w:bCs/>
          <w:szCs w:val="21"/>
        </w:rPr>
        <w:t>gene:</w:t>
      </w:r>
      <w:r w:rsidR="003E75A2" w:rsidRPr="003E75A2">
        <w:rPr>
          <w:rFonts w:ascii="Arial" w:hAnsi="Arial" w:cs="Arial"/>
          <w:b/>
          <w:bCs/>
          <w:szCs w:val="21"/>
        </w:rPr>
        <w:t xml:space="preserve"> </w:t>
      </w:r>
      <w:r w:rsidR="003E75A2" w:rsidRPr="003E75A2">
        <w:rPr>
          <w:rFonts w:ascii="Arial" w:hAnsi="Arial" w:cs="Arial"/>
          <w:szCs w:val="21"/>
        </w:rPr>
        <w:t>The purpose of this analysis is to distinguish between the beta chain and the alpha chain of TCRs</w:t>
      </w:r>
      <w:r w:rsidRPr="003E75A2">
        <w:rPr>
          <w:rFonts w:ascii="Arial" w:hAnsi="Arial" w:cs="Arial"/>
          <w:szCs w:val="21"/>
        </w:rPr>
        <w:t>.</w:t>
      </w:r>
    </w:p>
    <w:p w14:paraId="7EC46B28" w14:textId="77777777" w:rsidR="003E75A2" w:rsidRPr="00B3494D" w:rsidRDefault="003E75A2" w:rsidP="00B3494D">
      <w:pPr>
        <w:rPr>
          <w:rFonts w:ascii="Arial" w:hAnsi="Arial" w:cs="Arial"/>
          <w:szCs w:val="21"/>
        </w:rPr>
      </w:pPr>
    </w:p>
    <w:p w14:paraId="4D59720C" w14:textId="77777777" w:rsidR="003237AB" w:rsidRDefault="00B3494D" w:rsidP="00B3494D">
      <w:pPr>
        <w:rPr>
          <w:rFonts w:ascii="Arial" w:hAnsi="Arial" w:cs="Arial"/>
          <w:szCs w:val="21"/>
        </w:rPr>
      </w:pPr>
      <w:r w:rsidRPr="00B3494D">
        <w:rPr>
          <w:rFonts w:ascii="Arial" w:hAnsi="Arial" w:cs="Arial"/>
          <w:szCs w:val="21"/>
        </w:rPr>
        <w:t xml:space="preserve">   </w:t>
      </w:r>
      <w:r w:rsidRPr="003E75A2">
        <w:rPr>
          <w:rFonts w:ascii="Arial" w:hAnsi="Arial" w:cs="Arial"/>
          <w:b/>
          <w:bCs/>
          <w:szCs w:val="21"/>
        </w:rPr>
        <w:t>cdr3:</w:t>
      </w:r>
      <w:r w:rsidRPr="00B3494D">
        <w:rPr>
          <w:rFonts w:ascii="Arial" w:hAnsi="Arial" w:cs="Arial"/>
          <w:szCs w:val="21"/>
        </w:rPr>
        <w:t xml:space="preserve"> </w:t>
      </w:r>
      <w:r w:rsidR="003237AB" w:rsidRPr="003237AB">
        <w:rPr>
          <w:rFonts w:ascii="Arial" w:hAnsi="Arial" w:cs="Arial"/>
          <w:szCs w:val="21"/>
        </w:rPr>
        <w:t>This is the part of the TCR that is the most variable. It is crucial for the specificity of the antigen.</w:t>
      </w:r>
    </w:p>
    <w:p w14:paraId="516EAE3D" w14:textId="77777777" w:rsidR="003237AB" w:rsidRDefault="003237AB" w:rsidP="00B3494D">
      <w:pPr>
        <w:rPr>
          <w:rFonts w:ascii="Arial" w:hAnsi="Arial" w:cs="Arial"/>
          <w:szCs w:val="21"/>
        </w:rPr>
      </w:pPr>
    </w:p>
    <w:p w14:paraId="578C9522" w14:textId="3361F6BF" w:rsidR="00B3494D" w:rsidRDefault="00B3494D" w:rsidP="00B3494D">
      <w:pPr>
        <w:rPr>
          <w:rFonts w:ascii="Arial" w:hAnsi="Arial" w:cs="Arial"/>
          <w:szCs w:val="21"/>
        </w:rPr>
      </w:pPr>
      <w:r w:rsidRPr="00B3494D">
        <w:rPr>
          <w:rFonts w:ascii="Arial" w:hAnsi="Arial" w:cs="Arial"/>
          <w:szCs w:val="21"/>
        </w:rPr>
        <w:t xml:space="preserve">   </w:t>
      </w:r>
      <w:r w:rsidR="003237AB" w:rsidRPr="003237AB">
        <w:rPr>
          <w:rFonts w:ascii="Arial" w:hAnsi="Arial" w:cs="Arial"/>
          <w:b/>
          <w:bCs/>
          <w:szCs w:val="21"/>
        </w:rPr>
        <w:t>“</w:t>
      </w:r>
      <w:proofErr w:type="spellStart"/>
      <w:proofErr w:type="gramStart"/>
      <w:r w:rsidRPr="003237AB">
        <w:rPr>
          <w:rFonts w:ascii="Arial" w:hAnsi="Arial" w:cs="Arial"/>
          <w:b/>
          <w:bCs/>
          <w:szCs w:val="21"/>
        </w:rPr>
        <w:t>v.segm</w:t>
      </w:r>
      <w:proofErr w:type="spellEnd"/>
      <w:proofErr w:type="gramEnd"/>
      <w:r w:rsidR="003237AB" w:rsidRPr="003237AB">
        <w:rPr>
          <w:rFonts w:ascii="Arial" w:hAnsi="Arial" w:cs="Arial"/>
          <w:b/>
          <w:bCs/>
          <w:szCs w:val="21"/>
        </w:rPr>
        <w:t>”</w:t>
      </w:r>
      <w:r w:rsidRPr="003237AB">
        <w:rPr>
          <w:rFonts w:ascii="Arial" w:hAnsi="Arial" w:cs="Arial"/>
          <w:b/>
          <w:bCs/>
          <w:szCs w:val="21"/>
        </w:rPr>
        <w:t xml:space="preserve"> and</w:t>
      </w:r>
      <w:r w:rsidR="003237AB" w:rsidRPr="003237AB">
        <w:rPr>
          <w:rFonts w:ascii="Arial" w:hAnsi="Arial" w:cs="Arial"/>
          <w:b/>
          <w:bCs/>
          <w:szCs w:val="21"/>
        </w:rPr>
        <w:t xml:space="preserve"> “</w:t>
      </w:r>
      <w:proofErr w:type="spellStart"/>
      <w:r w:rsidRPr="003237AB">
        <w:rPr>
          <w:rFonts w:ascii="Arial" w:hAnsi="Arial" w:cs="Arial"/>
          <w:b/>
          <w:bCs/>
          <w:szCs w:val="21"/>
        </w:rPr>
        <w:t>j.segm</w:t>
      </w:r>
      <w:proofErr w:type="spellEnd"/>
      <w:r w:rsidR="003237AB" w:rsidRPr="003237AB">
        <w:rPr>
          <w:rFonts w:ascii="Arial" w:hAnsi="Arial" w:cs="Arial"/>
          <w:b/>
          <w:bCs/>
          <w:szCs w:val="21"/>
        </w:rPr>
        <w:t>”</w:t>
      </w:r>
      <w:r w:rsidR="003237AB">
        <w:rPr>
          <w:rFonts w:ascii="Arial" w:hAnsi="Arial" w:cs="Arial"/>
          <w:szCs w:val="21"/>
        </w:rPr>
        <w:t xml:space="preserve"> </w:t>
      </w:r>
      <w:r w:rsidRPr="00B3494D">
        <w:rPr>
          <w:rFonts w:ascii="Arial" w:hAnsi="Arial" w:cs="Arial"/>
          <w:szCs w:val="21"/>
        </w:rPr>
        <w:t>:</w:t>
      </w:r>
      <w:r w:rsidR="003237AB" w:rsidRPr="003237AB">
        <w:rPr>
          <w:rFonts w:ascii="Arial" w:hAnsi="Arial" w:cs="Arial"/>
          <w:szCs w:val="21"/>
        </w:rPr>
        <w:t xml:space="preserve"> A better understanding of TCR diversity and specificity can be gained by studying the characteristics of variable segments (V) and joining segments (J).</w:t>
      </w:r>
    </w:p>
    <w:p w14:paraId="2FAA43B2" w14:textId="77777777" w:rsidR="003237AB" w:rsidRPr="00B3494D" w:rsidRDefault="003237AB" w:rsidP="00B3494D">
      <w:pPr>
        <w:rPr>
          <w:rFonts w:ascii="Arial" w:hAnsi="Arial" w:cs="Arial"/>
          <w:szCs w:val="21"/>
        </w:rPr>
      </w:pPr>
    </w:p>
    <w:p w14:paraId="47421237" w14:textId="26DCACA0" w:rsidR="00B3494D" w:rsidRDefault="00B3494D" w:rsidP="00B3494D">
      <w:pPr>
        <w:rPr>
          <w:rFonts w:ascii="Arial" w:hAnsi="Arial" w:cs="Arial"/>
          <w:szCs w:val="21"/>
        </w:rPr>
      </w:pPr>
      <w:r w:rsidRPr="00B3494D">
        <w:rPr>
          <w:rFonts w:ascii="Arial" w:hAnsi="Arial" w:cs="Arial"/>
          <w:szCs w:val="21"/>
        </w:rPr>
        <w:t xml:space="preserve">   </w:t>
      </w:r>
      <w:proofErr w:type="spellStart"/>
      <w:r w:rsidRPr="003237AB">
        <w:rPr>
          <w:rFonts w:ascii="Arial" w:hAnsi="Arial" w:cs="Arial"/>
          <w:b/>
          <w:bCs/>
          <w:szCs w:val="21"/>
        </w:rPr>
        <w:t>mhc.class</w:t>
      </w:r>
      <w:proofErr w:type="spellEnd"/>
      <w:r w:rsidRPr="003237AB">
        <w:rPr>
          <w:rFonts w:ascii="Arial" w:hAnsi="Arial" w:cs="Arial"/>
          <w:b/>
          <w:bCs/>
          <w:szCs w:val="21"/>
        </w:rPr>
        <w:t>:</w:t>
      </w:r>
      <w:r w:rsidRPr="00B3494D">
        <w:rPr>
          <w:rFonts w:ascii="Arial" w:hAnsi="Arial" w:cs="Arial"/>
          <w:szCs w:val="21"/>
        </w:rPr>
        <w:t xml:space="preserve"> </w:t>
      </w:r>
      <w:r w:rsidR="003237AB" w:rsidRPr="003237AB">
        <w:rPr>
          <w:rFonts w:ascii="Arial" w:hAnsi="Arial" w:cs="Arial"/>
          <w:szCs w:val="21"/>
        </w:rPr>
        <w:t>This is due to the fact that interactions with other classes of MHC molecules might affect the specificity of TCR molecules.</w:t>
      </w:r>
    </w:p>
    <w:p w14:paraId="291AD7E3" w14:textId="77777777" w:rsidR="003237AB" w:rsidRPr="00B3494D" w:rsidRDefault="003237AB" w:rsidP="00B3494D">
      <w:pPr>
        <w:rPr>
          <w:rFonts w:ascii="Arial" w:hAnsi="Arial" w:cs="Arial"/>
          <w:szCs w:val="21"/>
        </w:rPr>
      </w:pPr>
    </w:p>
    <w:p w14:paraId="3DDC6AC5" w14:textId="5C494E86" w:rsidR="00B3494D" w:rsidRDefault="00B3494D" w:rsidP="00B3494D">
      <w:pPr>
        <w:rPr>
          <w:rFonts w:ascii="Arial" w:hAnsi="Arial" w:cs="Arial"/>
          <w:szCs w:val="21"/>
        </w:rPr>
      </w:pPr>
      <w:r w:rsidRPr="00B3494D">
        <w:rPr>
          <w:rFonts w:ascii="Arial" w:hAnsi="Arial" w:cs="Arial"/>
          <w:szCs w:val="21"/>
        </w:rPr>
        <w:t xml:space="preserve">   </w:t>
      </w:r>
      <w:proofErr w:type="gramStart"/>
      <w:r w:rsidRPr="003237AB">
        <w:rPr>
          <w:rFonts w:ascii="Arial" w:hAnsi="Arial" w:cs="Arial"/>
          <w:b/>
          <w:bCs/>
          <w:szCs w:val="21"/>
        </w:rPr>
        <w:t>antigen.epitope</w:t>
      </w:r>
      <w:proofErr w:type="gramEnd"/>
      <w:r w:rsidRPr="003237AB">
        <w:rPr>
          <w:rFonts w:ascii="Arial" w:hAnsi="Arial" w:cs="Arial"/>
          <w:b/>
          <w:bCs/>
          <w:szCs w:val="21"/>
        </w:rPr>
        <w:t>:</w:t>
      </w:r>
      <w:r w:rsidRPr="00B3494D">
        <w:rPr>
          <w:rFonts w:ascii="Arial" w:hAnsi="Arial" w:cs="Arial"/>
          <w:szCs w:val="21"/>
        </w:rPr>
        <w:t xml:space="preserve"> </w:t>
      </w:r>
      <w:r w:rsidR="003237AB" w:rsidRPr="003237AB">
        <w:rPr>
          <w:rFonts w:ascii="Arial" w:hAnsi="Arial" w:cs="Arial"/>
          <w:szCs w:val="21"/>
        </w:rPr>
        <w:t>For an understanding of the specificity of the TCR, this is the sequence of antigens that are recognized by it.</w:t>
      </w:r>
    </w:p>
    <w:p w14:paraId="217DDDBF" w14:textId="77777777" w:rsidR="003237AB" w:rsidRPr="00B3494D" w:rsidRDefault="003237AB" w:rsidP="00B3494D">
      <w:pPr>
        <w:rPr>
          <w:rFonts w:ascii="Arial" w:hAnsi="Arial" w:cs="Arial"/>
          <w:szCs w:val="21"/>
        </w:rPr>
      </w:pPr>
    </w:p>
    <w:p w14:paraId="4BF8D0EC" w14:textId="4AA6040B" w:rsidR="00B3494D" w:rsidRPr="00B3494D" w:rsidRDefault="00B3494D" w:rsidP="00B3494D">
      <w:pPr>
        <w:rPr>
          <w:rFonts w:ascii="Arial" w:hAnsi="Arial" w:cs="Arial"/>
          <w:szCs w:val="21"/>
        </w:rPr>
      </w:pPr>
      <w:r w:rsidRPr="00B3494D">
        <w:rPr>
          <w:rFonts w:ascii="Arial" w:hAnsi="Arial" w:cs="Arial"/>
          <w:szCs w:val="21"/>
        </w:rPr>
        <w:t xml:space="preserve">2. </w:t>
      </w:r>
      <w:r w:rsidRPr="003237AB">
        <w:rPr>
          <w:rFonts w:ascii="Arial" w:hAnsi="Arial" w:cs="Arial"/>
          <w:b/>
          <w:bCs/>
          <w:szCs w:val="21"/>
        </w:rPr>
        <w:t>Remove Unnecessary Columns:</w:t>
      </w:r>
      <w:r w:rsidRPr="00B3494D">
        <w:rPr>
          <w:rFonts w:ascii="Arial" w:hAnsi="Arial" w:cs="Arial"/>
          <w:szCs w:val="21"/>
        </w:rPr>
        <w:t xml:space="preserve"> Columns that are not directly related to predicting TCR specificity based on sequence information, such as `complex.id`, `species`, `</w:t>
      </w:r>
      <w:proofErr w:type="spellStart"/>
      <w:proofErr w:type="gramStart"/>
      <w:r w:rsidRPr="00B3494D">
        <w:rPr>
          <w:rFonts w:ascii="Arial" w:hAnsi="Arial" w:cs="Arial"/>
          <w:szCs w:val="21"/>
        </w:rPr>
        <w:t>mhc.a</w:t>
      </w:r>
      <w:proofErr w:type="spellEnd"/>
      <w:proofErr w:type="gramEnd"/>
      <w:r w:rsidRPr="00B3494D">
        <w:rPr>
          <w:rFonts w:ascii="Arial" w:hAnsi="Arial" w:cs="Arial"/>
          <w:szCs w:val="21"/>
        </w:rPr>
        <w:t>`, `</w:t>
      </w:r>
      <w:proofErr w:type="spellStart"/>
      <w:r w:rsidRPr="00B3494D">
        <w:rPr>
          <w:rFonts w:ascii="Arial" w:hAnsi="Arial" w:cs="Arial"/>
          <w:szCs w:val="21"/>
        </w:rPr>
        <w:t>mhc.b</w:t>
      </w:r>
      <w:proofErr w:type="spellEnd"/>
      <w:r w:rsidRPr="00B3494D">
        <w:rPr>
          <w:rFonts w:ascii="Arial" w:hAnsi="Arial" w:cs="Arial"/>
          <w:szCs w:val="21"/>
        </w:rPr>
        <w:t>`, `</w:t>
      </w:r>
      <w:proofErr w:type="spellStart"/>
      <w:r w:rsidRPr="00B3494D">
        <w:rPr>
          <w:rFonts w:ascii="Arial" w:hAnsi="Arial" w:cs="Arial"/>
          <w:szCs w:val="21"/>
        </w:rPr>
        <w:t>antigen.gene</w:t>
      </w:r>
      <w:proofErr w:type="spellEnd"/>
      <w:r w:rsidRPr="00B3494D">
        <w:rPr>
          <w:rFonts w:ascii="Arial" w:hAnsi="Arial" w:cs="Arial"/>
          <w:szCs w:val="21"/>
        </w:rPr>
        <w:t>`, `</w:t>
      </w:r>
      <w:proofErr w:type="spellStart"/>
      <w:r w:rsidRPr="00B3494D">
        <w:rPr>
          <w:rFonts w:ascii="Arial" w:hAnsi="Arial" w:cs="Arial"/>
          <w:szCs w:val="21"/>
        </w:rPr>
        <w:t>antigen.species</w:t>
      </w:r>
      <w:proofErr w:type="spellEnd"/>
      <w:r w:rsidRPr="00B3494D">
        <w:rPr>
          <w:rFonts w:ascii="Arial" w:hAnsi="Arial" w:cs="Arial"/>
          <w:szCs w:val="21"/>
        </w:rPr>
        <w:t xml:space="preserve">`, `reference.id`, metadata columns like `method`, </w:t>
      </w:r>
      <w:r w:rsidRPr="00B3494D">
        <w:rPr>
          <w:rFonts w:ascii="Arial" w:hAnsi="Arial" w:cs="Arial"/>
          <w:szCs w:val="21"/>
        </w:rPr>
        <w:lastRenderedPageBreak/>
        <w:t>`meta`, `cdr3fix`, and web-related columns, can be excluded from further analysis.</w:t>
      </w:r>
    </w:p>
    <w:p w14:paraId="2373C0E8" w14:textId="77777777" w:rsidR="00B3494D" w:rsidRPr="00B3494D" w:rsidRDefault="00B3494D" w:rsidP="00B3494D">
      <w:pPr>
        <w:rPr>
          <w:rFonts w:ascii="Arial" w:hAnsi="Arial" w:cs="Arial"/>
          <w:szCs w:val="21"/>
        </w:rPr>
      </w:pPr>
    </w:p>
    <w:p w14:paraId="5D1B82DE" w14:textId="77777777" w:rsidR="00B3494D" w:rsidRPr="00B3494D" w:rsidRDefault="00B3494D" w:rsidP="00B3494D">
      <w:pPr>
        <w:rPr>
          <w:rFonts w:ascii="Arial" w:hAnsi="Arial" w:cs="Arial"/>
          <w:szCs w:val="21"/>
        </w:rPr>
      </w:pPr>
    </w:p>
    <w:p w14:paraId="559205CE" w14:textId="3159AE37" w:rsidR="00B3494D" w:rsidRPr="00B3494D" w:rsidRDefault="00B3494D" w:rsidP="00B3494D">
      <w:pPr>
        <w:rPr>
          <w:rFonts w:ascii="Arial" w:hAnsi="Arial" w:cs="Arial"/>
          <w:b/>
          <w:bCs/>
          <w:sz w:val="28"/>
          <w:szCs w:val="28"/>
        </w:rPr>
      </w:pPr>
      <w:r w:rsidRPr="00B3494D">
        <w:rPr>
          <w:rFonts w:ascii="Arial" w:hAnsi="Arial" w:cs="Arial" w:hint="eastAsia"/>
          <w:b/>
          <w:bCs/>
          <w:sz w:val="28"/>
          <w:szCs w:val="28"/>
        </w:rPr>
        <w:t>(</w:t>
      </w:r>
      <w:r w:rsidRPr="00B3494D">
        <w:rPr>
          <w:rFonts w:ascii="Arial" w:hAnsi="Arial" w:cs="Arial"/>
          <w:b/>
          <w:bCs/>
          <w:sz w:val="28"/>
          <w:szCs w:val="28"/>
        </w:rPr>
        <w:t>c)</w:t>
      </w:r>
      <w:r w:rsidRPr="00B3494D">
        <w:rPr>
          <w:b/>
          <w:bCs/>
          <w:sz w:val="28"/>
          <w:szCs w:val="28"/>
        </w:rPr>
        <w:t xml:space="preserve"> </w:t>
      </w:r>
      <w:r w:rsidRPr="00B3494D">
        <w:rPr>
          <w:rFonts w:ascii="Arial" w:hAnsi="Arial" w:cs="Arial"/>
          <w:b/>
          <w:bCs/>
          <w:sz w:val="28"/>
          <w:szCs w:val="28"/>
        </w:rPr>
        <w:t>Predicting TCR specificity from sequence alone is the holy grail of immunotherapy. TCRs</w:t>
      </w:r>
      <w:r>
        <w:rPr>
          <w:rFonts w:ascii="Arial" w:hAnsi="Arial" w:cs="Arial" w:hint="eastAsia"/>
          <w:b/>
          <w:bCs/>
          <w:sz w:val="28"/>
          <w:szCs w:val="28"/>
        </w:rPr>
        <w:t xml:space="preserve"> </w:t>
      </w:r>
      <w:r w:rsidRPr="00B3494D">
        <w:rPr>
          <w:rFonts w:ascii="Arial" w:hAnsi="Arial" w:cs="Arial"/>
          <w:b/>
          <w:bCs/>
          <w:sz w:val="28"/>
          <w:szCs w:val="28"/>
        </w:rPr>
        <w:t>that are specific to the same target, often have very similar sequences, thereby TCR</w:t>
      </w:r>
      <w:r>
        <w:rPr>
          <w:rFonts w:ascii="Arial" w:hAnsi="Arial" w:cs="Arial" w:hint="eastAsia"/>
          <w:b/>
          <w:bCs/>
          <w:sz w:val="28"/>
          <w:szCs w:val="28"/>
        </w:rPr>
        <w:t xml:space="preserve"> </w:t>
      </w:r>
      <w:r w:rsidRPr="00B3494D">
        <w:rPr>
          <w:rFonts w:ascii="Arial" w:hAnsi="Arial" w:cs="Arial"/>
          <w:b/>
          <w:bCs/>
          <w:sz w:val="28"/>
          <w:szCs w:val="28"/>
        </w:rPr>
        <w:t>sequence – target patterns emerge in the data.</w:t>
      </w:r>
    </w:p>
    <w:p w14:paraId="1B695E60" w14:textId="39495D13" w:rsidR="00B3494D" w:rsidRPr="00B3494D" w:rsidRDefault="00B3494D" w:rsidP="00B3494D">
      <w:pPr>
        <w:rPr>
          <w:rFonts w:ascii="Arial" w:hAnsi="Arial" w:cs="Arial" w:hint="eastAsia"/>
          <w:b/>
          <w:bCs/>
          <w:sz w:val="28"/>
          <w:szCs w:val="28"/>
        </w:rPr>
      </w:pPr>
      <w:r w:rsidRPr="00B3494D">
        <w:rPr>
          <w:rFonts w:ascii="Arial" w:hAnsi="Arial" w:cs="Arial"/>
          <w:b/>
          <w:bCs/>
          <w:sz w:val="28"/>
          <w:szCs w:val="28"/>
        </w:rPr>
        <w:t>A crude approach could be to represent amino acids of the TCR or key regions of it using</w:t>
      </w:r>
      <w:r w:rsidR="003237AB">
        <w:rPr>
          <w:rFonts w:ascii="Arial" w:hAnsi="Arial" w:cs="Arial" w:hint="eastAsia"/>
          <w:b/>
          <w:bCs/>
          <w:sz w:val="28"/>
          <w:szCs w:val="28"/>
        </w:rPr>
        <w:t xml:space="preserve"> </w:t>
      </w:r>
      <w:r w:rsidRPr="00B3494D">
        <w:rPr>
          <w:rFonts w:ascii="Arial" w:hAnsi="Arial" w:cs="Arial"/>
          <w:b/>
          <w:bCs/>
          <w:sz w:val="28"/>
          <w:szCs w:val="28"/>
        </w:rPr>
        <w:t>one-hot representation.</w:t>
      </w:r>
    </w:p>
    <w:sectPr w:rsidR="00B3494D" w:rsidRPr="00B34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1E05"/>
    <w:multiLevelType w:val="hybridMultilevel"/>
    <w:tmpl w:val="49A002BC"/>
    <w:lvl w:ilvl="0" w:tplc="35DA366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891664"/>
    <w:multiLevelType w:val="hybridMultilevel"/>
    <w:tmpl w:val="D804D2C2"/>
    <w:lvl w:ilvl="0" w:tplc="E10080F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7603305">
    <w:abstractNumId w:val="1"/>
  </w:num>
  <w:num w:numId="2" w16cid:durableId="212306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9A"/>
    <w:rsid w:val="000E5115"/>
    <w:rsid w:val="001152D8"/>
    <w:rsid w:val="001F653F"/>
    <w:rsid w:val="00235BC7"/>
    <w:rsid w:val="00321EF2"/>
    <w:rsid w:val="003237AB"/>
    <w:rsid w:val="003E75A2"/>
    <w:rsid w:val="007010AA"/>
    <w:rsid w:val="00744365"/>
    <w:rsid w:val="007A5B65"/>
    <w:rsid w:val="00985F9A"/>
    <w:rsid w:val="009D3049"/>
    <w:rsid w:val="00B3494D"/>
    <w:rsid w:val="00BE4543"/>
    <w:rsid w:val="00C46C48"/>
    <w:rsid w:val="00CB55FA"/>
    <w:rsid w:val="00D83F9A"/>
    <w:rsid w:val="00DA38AA"/>
    <w:rsid w:val="00DD0FA5"/>
    <w:rsid w:val="00E27D29"/>
    <w:rsid w:val="00F4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48E"/>
  <w15:chartTrackingRefBased/>
  <w15:docId w15:val="{3B14E9E9-0470-49D8-BD20-D5324236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C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2</cp:revision>
  <dcterms:created xsi:type="dcterms:W3CDTF">2024-03-10T14:31:00Z</dcterms:created>
  <dcterms:modified xsi:type="dcterms:W3CDTF">2024-03-10T14:31:00Z</dcterms:modified>
</cp:coreProperties>
</file>