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DC1FB" w14:textId="60EE11C7" w:rsidR="001F653F" w:rsidRDefault="00AA1E70" w:rsidP="00AA1E70">
      <w:pPr>
        <w:pStyle w:val="1"/>
      </w:pPr>
      <w:r w:rsidRPr="00AA1E70">
        <w:t>Literature Review</w:t>
      </w:r>
    </w:p>
    <w:p w14:paraId="11E25507" w14:textId="0FEEDC06" w:rsidR="00AA1E70" w:rsidRPr="00AA1E70" w:rsidRDefault="00AA1E70" w:rsidP="00AA1E70">
      <w:pPr>
        <w:pStyle w:val="2"/>
        <w:numPr>
          <w:ilvl w:val="0"/>
          <w:numId w:val="1"/>
        </w:numPr>
      </w:pPr>
      <w:r w:rsidRPr="00AA1E70">
        <w:t>Introduction</w:t>
      </w:r>
    </w:p>
    <w:p w14:paraId="405A0D3D" w14:textId="35A04634" w:rsidR="008A6A9F" w:rsidRDefault="008A6A9F" w:rsidP="008A6A9F">
      <w:r>
        <w:t xml:space="preserve">As part of adaptive immunity, T cells detect and eliminate infected or cancerous cells in the body. T cell receptors (TCR) </w:t>
      </w:r>
      <w:r w:rsidR="000904F4">
        <w:rPr>
          <w:rFonts w:hint="eastAsia"/>
        </w:rPr>
        <w:t xml:space="preserve">which </w:t>
      </w:r>
      <w:r>
        <w:t>express</w:t>
      </w:r>
      <w:r w:rsidR="000904F4">
        <w:rPr>
          <w:rFonts w:hint="eastAsia"/>
        </w:rPr>
        <w:t>ed</w:t>
      </w:r>
      <w:r>
        <w:t xml:space="preserve"> on the membrane of T cells</w:t>
      </w:r>
      <w:r w:rsidR="000904F4">
        <w:rPr>
          <w:rFonts w:hint="eastAsia"/>
        </w:rPr>
        <w:t xml:space="preserve"> are able to</w:t>
      </w:r>
      <w:r>
        <w:t xml:space="preserve"> recognize the target. </w:t>
      </w:r>
      <w:r w:rsidR="000904F4">
        <w:rPr>
          <w:rFonts w:hint="eastAsia"/>
        </w:rPr>
        <w:t>Basically, T cell is composed of a beta and an alpha chain.</w:t>
      </w:r>
      <w:r w:rsidR="00673351">
        <w:rPr>
          <w:rFonts w:hint="eastAsia"/>
        </w:rPr>
        <w:t xml:space="preserve"> Because of</w:t>
      </w:r>
      <w:r w:rsidR="00673351" w:rsidRPr="00673351">
        <w:t xml:space="preserve"> the biological complexity, the genetic encoding</w:t>
      </w:r>
      <w:r w:rsidR="00673351">
        <w:rPr>
          <w:rFonts w:hint="eastAsia"/>
        </w:rPr>
        <w:t xml:space="preserve">, </w:t>
      </w:r>
      <w:r w:rsidR="00673351" w:rsidRPr="00673351">
        <w:t xml:space="preserve">VDJ recombination for each chain providing </w:t>
      </w:r>
      <w:r w:rsidR="00673351">
        <w:rPr>
          <w:rFonts w:hint="eastAsia"/>
        </w:rPr>
        <w:t xml:space="preserve">an </w:t>
      </w:r>
      <w:r w:rsidR="00673351" w:rsidRPr="00673351">
        <w:t>abundant diversity of TCR species</w:t>
      </w:r>
      <w:r w:rsidR="00673351">
        <w:rPr>
          <w:rFonts w:hint="eastAsia"/>
        </w:rPr>
        <w:t xml:space="preserve">. As </w:t>
      </w:r>
      <w:r>
        <w:t>a result, a wide range of TCRs are produced. Since TCR repertoires respond very strongly to health status, TCR specificity can be very useful for therapeutic approaches.</w:t>
      </w:r>
      <w:r w:rsidR="00625956">
        <w:rPr>
          <w:rFonts w:hint="eastAsia"/>
        </w:rPr>
        <w:t xml:space="preserve"> </w:t>
      </w:r>
      <w:r w:rsidR="004645C3" w:rsidRPr="004645C3">
        <w:t>More specifically, the study of TCR sequence similarity features for antigenic epitopes (key of T</w:t>
      </w:r>
      <w:r w:rsidR="000904F4">
        <w:rPr>
          <w:rFonts w:hint="eastAsia"/>
        </w:rPr>
        <w:t xml:space="preserve"> </w:t>
      </w:r>
      <w:r w:rsidR="004645C3" w:rsidRPr="004645C3">
        <w:t>cell and peptide-MHC complex</w:t>
      </w:r>
      <w:r w:rsidR="0054212F">
        <w:rPr>
          <w:rFonts w:hint="eastAsia"/>
        </w:rPr>
        <w:t xml:space="preserve"> binding</w:t>
      </w:r>
      <w:r w:rsidR="004645C3" w:rsidRPr="004645C3">
        <w:t>) has great value and significance in implementing marker tracking, treatment, and control of disease</w:t>
      </w:r>
      <w:r w:rsidR="0054212F">
        <w:rPr>
          <w:rFonts w:hint="eastAsia"/>
        </w:rPr>
        <w:t xml:space="preserve">. </w:t>
      </w:r>
    </w:p>
    <w:p w14:paraId="083AD2B3" w14:textId="77777777" w:rsidR="00534C07" w:rsidRDefault="00534C07" w:rsidP="008A6A9F"/>
    <w:p w14:paraId="41D4D9FB" w14:textId="0973CC33" w:rsidR="007159E4" w:rsidRDefault="008A6A9F" w:rsidP="008A6A9F">
      <w:r>
        <w:t>In this project,</w:t>
      </w:r>
      <w:r w:rsidR="00B02920">
        <w:rPr>
          <w:rFonts w:hint="eastAsia"/>
        </w:rPr>
        <w:t xml:space="preserve"> </w:t>
      </w:r>
      <w:r w:rsidR="006D6630">
        <w:rPr>
          <w:rFonts w:hint="eastAsia"/>
        </w:rPr>
        <w:t xml:space="preserve">tasks </w:t>
      </w:r>
      <w:r w:rsidR="006D6630">
        <w:t>are</w:t>
      </w:r>
      <w:r w:rsidR="006D6630">
        <w:rPr>
          <w:rFonts w:hint="eastAsia"/>
        </w:rPr>
        <w:t xml:space="preserve"> </w:t>
      </w:r>
      <w:r w:rsidR="006D6630">
        <w:t>concentrated</w:t>
      </w:r>
      <w:r w:rsidR="006D6630">
        <w:rPr>
          <w:rFonts w:hint="eastAsia"/>
        </w:rPr>
        <w:t xml:space="preserve"> on understanding and </w:t>
      </w:r>
      <w:r w:rsidR="006D6630">
        <w:t>revealing</w:t>
      </w:r>
      <w:r w:rsidR="006D6630">
        <w:rPr>
          <w:rFonts w:hint="eastAsia"/>
        </w:rPr>
        <w:t xml:space="preserve"> the relationship between TCR sequence represented </w:t>
      </w:r>
      <w:r w:rsidR="00ED1E66">
        <w:rPr>
          <w:rFonts w:hint="eastAsia"/>
        </w:rPr>
        <w:t xml:space="preserve">by </w:t>
      </w:r>
      <w:r w:rsidR="006D6630">
        <w:rPr>
          <w:rFonts w:hint="eastAsia"/>
        </w:rPr>
        <w:t xml:space="preserve">cdr3 sequence and </w:t>
      </w:r>
      <w:r w:rsidR="006D6630" w:rsidRPr="006D6630">
        <w:t>TCR binding specificity.</w:t>
      </w:r>
      <w:r w:rsidR="00ED1E66">
        <w:rPr>
          <w:rFonts w:hint="eastAsia"/>
        </w:rPr>
        <w:t xml:space="preserve"> </w:t>
      </w:r>
      <w:r w:rsidR="00E23C2F">
        <w:rPr>
          <w:rFonts w:hint="eastAsia"/>
        </w:rPr>
        <w:t xml:space="preserve">Firstly, </w:t>
      </w:r>
      <w:r w:rsidR="007159E4">
        <w:t>using</w:t>
      </w:r>
      <w:r w:rsidR="007159E4">
        <w:rPr>
          <w:rFonts w:hint="eastAsia"/>
        </w:rPr>
        <w:t xml:space="preserve"> t-SNE method to perform </w:t>
      </w:r>
      <w:r w:rsidR="00E23C2F">
        <w:rPr>
          <w:rFonts w:hint="eastAsia"/>
        </w:rPr>
        <w:t>c</w:t>
      </w:r>
      <w:r w:rsidR="00E23C2F" w:rsidRPr="00E23C2F">
        <w:t>luster</w:t>
      </w:r>
      <w:r w:rsidR="00E23C2F">
        <w:rPr>
          <w:rFonts w:hint="eastAsia"/>
        </w:rPr>
        <w:t>ing</w:t>
      </w:r>
      <w:r w:rsidR="00E23C2F" w:rsidRPr="00E23C2F">
        <w:t xml:space="preserve"> analysis </w:t>
      </w:r>
      <w:r w:rsidR="00427F9F">
        <w:rPr>
          <w:rFonts w:hint="eastAsia"/>
        </w:rPr>
        <w:t xml:space="preserve">based on </w:t>
      </w:r>
      <w:r w:rsidR="00427F9F" w:rsidRPr="00427F9F">
        <w:t>distance matrix composed of known TCR sequences</w:t>
      </w:r>
      <w:r w:rsidR="00427F9F">
        <w:rPr>
          <w:rFonts w:hint="eastAsia"/>
        </w:rPr>
        <w:t xml:space="preserve"> </w:t>
      </w:r>
      <w:r w:rsidR="00E23C2F" w:rsidRPr="00E23C2F">
        <w:t xml:space="preserve">to investigate the </w:t>
      </w:r>
      <w:r w:rsidR="00427F9F" w:rsidRPr="00E23C2F">
        <w:t>specific</w:t>
      </w:r>
      <w:r w:rsidR="00427F9F">
        <w:t>ity</w:t>
      </w:r>
      <w:r w:rsidR="00E23C2F" w:rsidRPr="00E23C2F">
        <w:t xml:space="preserve"> between cdr3 sequences and antigenic epitopes</w:t>
      </w:r>
      <w:r w:rsidR="00B02920">
        <w:rPr>
          <w:rFonts w:hint="eastAsia"/>
        </w:rPr>
        <w:t>.</w:t>
      </w:r>
      <w:r w:rsidR="00751C2F">
        <w:rPr>
          <w:rFonts w:hint="eastAsia"/>
        </w:rPr>
        <w:t xml:space="preserve"> </w:t>
      </w:r>
      <w:r w:rsidR="00A84FB9" w:rsidRPr="00A84FB9">
        <w:t xml:space="preserve">In </w:t>
      </w:r>
      <w:r w:rsidR="00A84FB9">
        <w:rPr>
          <w:rFonts w:hint="eastAsia"/>
        </w:rPr>
        <w:t xml:space="preserve">the </w:t>
      </w:r>
      <w:r w:rsidR="00A84FB9" w:rsidRPr="00A84FB9">
        <w:t>two-dimensional clustering</w:t>
      </w:r>
      <w:r w:rsidR="00A84FB9">
        <w:rPr>
          <w:rFonts w:hint="eastAsia"/>
        </w:rPr>
        <w:t xml:space="preserve"> plot</w:t>
      </w:r>
      <w:r w:rsidR="00A84FB9" w:rsidRPr="00A84FB9">
        <w:t>, the similarity between TCR sequences and antigenic epitopes can be better demonstrated</w:t>
      </w:r>
      <w:r w:rsidR="00A84FB9">
        <w:rPr>
          <w:rFonts w:hint="eastAsia"/>
        </w:rPr>
        <w:t xml:space="preserve">, which </w:t>
      </w:r>
      <w:r w:rsidR="00A84FB9" w:rsidRPr="00A84FB9">
        <w:t>bring</w:t>
      </w:r>
      <w:r w:rsidR="00A84FB9">
        <w:rPr>
          <w:rFonts w:hint="eastAsia"/>
        </w:rPr>
        <w:t>s</w:t>
      </w:r>
      <w:r w:rsidR="00A84FB9" w:rsidRPr="00A84FB9">
        <w:t xml:space="preserve"> new insights into TCR disease treatment</w:t>
      </w:r>
      <w:r w:rsidR="00A84FB9">
        <w:rPr>
          <w:rFonts w:hint="eastAsia"/>
        </w:rPr>
        <w:t>.</w:t>
      </w:r>
    </w:p>
    <w:p w14:paraId="16B71D21" w14:textId="77777777" w:rsidR="0096771E" w:rsidRDefault="0096771E" w:rsidP="008A6A9F"/>
    <w:p w14:paraId="66AD0123" w14:textId="162B3155" w:rsidR="00534C07" w:rsidRPr="00251014" w:rsidRDefault="00251014" w:rsidP="008A6A9F">
      <w:pPr>
        <w:rPr>
          <w:rFonts w:hint="eastAsia"/>
        </w:rPr>
      </w:pPr>
      <w:r>
        <w:rPr>
          <w:rFonts w:hint="eastAsia"/>
        </w:rPr>
        <w:t>Due to the high-dimensional complexity of TCR sequence data, directly analyzing these data is impractical. As a result, this report turns to M</w:t>
      </w:r>
      <w:r>
        <w:t>ultidimensional</w:t>
      </w:r>
      <w:r>
        <w:rPr>
          <w:rFonts w:hint="eastAsia"/>
        </w:rPr>
        <w:t xml:space="preserve"> Scaling (MDS) to reduce the dimensionality while preserving data</w:t>
      </w:r>
      <w:r>
        <w:t>’</w:t>
      </w:r>
      <w:r>
        <w:rPr>
          <w:rFonts w:hint="eastAsia"/>
        </w:rPr>
        <w:t>s features as much as possible. Moreover, to explore TCR sequence data</w:t>
      </w:r>
      <w:r>
        <w:t>’</w:t>
      </w:r>
      <w:r>
        <w:rPr>
          <w:rFonts w:hint="eastAsia"/>
        </w:rPr>
        <w:t>s structures and features, Gaussian Mixture Models (GMM) are employed to cluster these dimensions reduced data.</w:t>
      </w:r>
      <w:r w:rsidR="0033008A">
        <w:rPr>
          <w:rFonts w:hint="eastAsia"/>
        </w:rPr>
        <w:t xml:space="preserve"> This method is able to perform refined clustering of TCT sequences based on probabilistic models. Moreover, considering TCR specificities in each cluster and in order to display the relationships between cluster results and TCR specificities, UMAP is employed to </w:t>
      </w:r>
      <w:r w:rsidR="00C05A4A">
        <w:rPr>
          <w:rFonts w:hint="eastAsia"/>
        </w:rPr>
        <w:t xml:space="preserve">perform data visualization. </w:t>
      </w:r>
      <w:r>
        <w:rPr>
          <w:rFonts w:hint="eastAsia"/>
        </w:rPr>
        <w:t>The combination of GMM</w:t>
      </w:r>
      <w:r w:rsidR="00C05A4A">
        <w:rPr>
          <w:rFonts w:hint="eastAsia"/>
        </w:rPr>
        <w:t>,</w:t>
      </w:r>
      <w:r>
        <w:rPr>
          <w:rFonts w:hint="eastAsia"/>
        </w:rPr>
        <w:t xml:space="preserve"> MDS </w:t>
      </w:r>
      <w:r w:rsidR="00C05A4A">
        <w:rPr>
          <w:rFonts w:hint="eastAsia"/>
        </w:rPr>
        <w:t xml:space="preserve">and UMAP </w:t>
      </w:r>
      <w:r>
        <w:rPr>
          <w:rFonts w:hint="eastAsia"/>
        </w:rPr>
        <w:t xml:space="preserve">provides a useful analysis structure which </w:t>
      </w:r>
      <w:r w:rsidR="0033008A">
        <w:rPr>
          <w:rFonts w:hint="eastAsia"/>
        </w:rPr>
        <w:t xml:space="preserve">is able to </w:t>
      </w:r>
      <w:r w:rsidR="00C05A4A">
        <w:rPr>
          <w:rFonts w:hint="eastAsia"/>
        </w:rPr>
        <w:t>enhance the understanding of TCR specificities.</w:t>
      </w:r>
    </w:p>
    <w:p w14:paraId="38061178" w14:textId="77777777" w:rsidR="00F02EA4" w:rsidRDefault="00F02EA4" w:rsidP="008A6A9F">
      <w:pPr>
        <w:rPr>
          <w:rFonts w:hint="eastAsia"/>
        </w:rPr>
      </w:pPr>
    </w:p>
    <w:p w14:paraId="5CD2A5EF" w14:textId="297F7FEF" w:rsidR="0054212F" w:rsidRDefault="00751C2F" w:rsidP="0049045D">
      <w:r>
        <w:t>Furthermore, develop</w:t>
      </w:r>
      <w:r w:rsidRPr="00751C2F">
        <w:t xml:space="preserve"> machine learning models that can predict the specificity of TCRs to certain epitopes based on </w:t>
      </w:r>
      <w:r w:rsidR="007159E4">
        <w:rPr>
          <w:rFonts w:hint="eastAsia"/>
        </w:rPr>
        <w:t>its cdr3</w:t>
      </w:r>
      <w:r w:rsidRPr="00751C2F">
        <w:t xml:space="preserve"> sequence</w:t>
      </w:r>
      <w:r w:rsidR="0049045D">
        <w:rPr>
          <w:rFonts w:hint="eastAsia"/>
        </w:rPr>
        <w:t xml:space="preserve">. </w:t>
      </w:r>
      <w:r w:rsidR="00C90D26">
        <w:rPr>
          <w:rFonts w:hint="eastAsia"/>
        </w:rPr>
        <w:t>This report uses K</w:t>
      </w:r>
      <w:r w:rsidR="003472A0">
        <w:rPr>
          <w:rFonts w:hint="eastAsia"/>
        </w:rPr>
        <w:t xml:space="preserve"> nearest </w:t>
      </w:r>
      <w:proofErr w:type="spellStart"/>
      <w:r w:rsidR="00C90D26">
        <w:rPr>
          <w:rFonts w:hint="eastAsia"/>
        </w:rPr>
        <w:t>neighbour</w:t>
      </w:r>
      <w:r w:rsidR="003472A0">
        <w:rPr>
          <w:rFonts w:hint="eastAsia"/>
        </w:rPr>
        <w:t>s</w:t>
      </w:r>
      <w:proofErr w:type="spellEnd"/>
      <w:r w:rsidR="003472A0">
        <w:rPr>
          <w:rFonts w:hint="eastAsia"/>
        </w:rPr>
        <w:t xml:space="preserve"> (KNN)</w:t>
      </w:r>
      <w:r w:rsidR="00C90D26">
        <w:rPr>
          <w:rFonts w:hint="eastAsia"/>
        </w:rPr>
        <w:t xml:space="preserve"> to classify </w:t>
      </w:r>
      <w:r w:rsidR="003472A0">
        <w:rPr>
          <w:rFonts w:hint="eastAsia"/>
        </w:rPr>
        <w:t xml:space="preserve">TCR sequences. </w:t>
      </w:r>
      <w:proofErr w:type="spellStart"/>
      <w:r w:rsidR="003472A0">
        <w:rPr>
          <w:rFonts w:hint="eastAsia"/>
        </w:rPr>
        <w:t>Knn</w:t>
      </w:r>
      <w:proofErr w:type="spellEnd"/>
      <w:r w:rsidR="003472A0">
        <w:rPr>
          <w:rFonts w:hint="eastAsia"/>
        </w:rPr>
        <w:t xml:space="preserve"> as a simple but effective machine learning method, is widely used because of its efficiency and intuitiveness when dealing with classification tasks. This report employs KNN aiming to explore its potentials in classifying different TCRs</w:t>
      </w:r>
      <w:r w:rsidR="003472A0">
        <w:t>’</w:t>
      </w:r>
      <w:r w:rsidR="003472A0">
        <w:rPr>
          <w:rFonts w:hint="eastAsia"/>
        </w:rPr>
        <w:t xml:space="preserve"> antigen specificities and manage to make some conclusions based on classification results.</w:t>
      </w:r>
    </w:p>
    <w:p w14:paraId="29D15CBF" w14:textId="77777777" w:rsidR="003472A0" w:rsidRDefault="003472A0" w:rsidP="0049045D"/>
    <w:p w14:paraId="26B829CD" w14:textId="77777777" w:rsidR="003472A0" w:rsidRPr="003472A0" w:rsidRDefault="003472A0" w:rsidP="0049045D">
      <w:pPr>
        <w:rPr>
          <w:rFonts w:hint="eastAsia"/>
        </w:rPr>
      </w:pPr>
    </w:p>
    <w:p w14:paraId="4512E466" w14:textId="19B90398" w:rsidR="008927DE" w:rsidRDefault="008927DE" w:rsidP="008927DE"/>
    <w:p w14:paraId="1754C303" w14:textId="4D24FF20" w:rsidR="004A1B5B" w:rsidRPr="004A1B5B" w:rsidRDefault="004A1B5B" w:rsidP="004A1B5B">
      <w:pPr>
        <w:rPr>
          <w:b/>
          <w:bCs/>
          <w:sz w:val="28"/>
          <w:szCs w:val="28"/>
        </w:rPr>
      </w:pPr>
    </w:p>
    <w:sectPr w:rsidR="004A1B5B" w:rsidRPr="004A1B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6D523" w14:textId="77777777" w:rsidR="00D319B6" w:rsidRDefault="00D319B6" w:rsidP="00AA1E70">
      <w:r>
        <w:separator/>
      </w:r>
    </w:p>
  </w:endnote>
  <w:endnote w:type="continuationSeparator" w:id="0">
    <w:p w14:paraId="3049A5BA" w14:textId="77777777" w:rsidR="00D319B6" w:rsidRDefault="00D319B6" w:rsidP="00AA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16569" w14:textId="77777777" w:rsidR="00D319B6" w:rsidRDefault="00D319B6" w:rsidP="00AA1E70">
      <w:r>
        <w:separator/>
      </w:r>
    </w:p>
  </w:footnote>
  <w:footnote w:type="continuationSeparator" w:id="0">
    <w:p w14:paraId="690E87D1" w14:textId="77777777" w:rsidR="00D319B6" w:rsidRDefault="00D319B6" w:rsidP="00AA1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7A763A"/>
    <w:multiLevelType w:val="hybridMultilevel"/>
    <w:tmpl w:val="6BAAB2F0"/>
    <w:lvl w:ilvl="0" w:tplc="58CE64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3BC6520"/>
    <w:multiLevelType w:val="hybridMultilevel"/>
    <w:tmpl w:val="2F5E9FF8"/>
    <w:lvl w:ilvl="0" w:tplc="3EA47D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6489097">
    <w:abstractNumId w:val="0"/>
  </w:num>
  <w:num w:numId="2" w16cid:durableId="545263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83"/>
    <w:rsid w:val="000904F4"/>
    <w:rsid w:val="0013357C"/>
    <w:rsid w:val="00193609"/>
    <w:rsid w:val="001F653F"/>
    <w:rsid w:val="00251014"/>
    <w:rsid w:val="0033008A"/>
    <w:rsid w:val="003472A0"/>
    <w:rsid w:val="00427F9F"/>
    <w:rsid w:val="00460083"/>
    <w:rsid w:val="004645C3"/>
    <w:rsid w:val="00483A10"/>
    <w:rsid w:val="0049045D"/>
    <w:rsid w:val="004A0152"/>
    <w:rsid w:val="004A1B5B"/>
    <w:rsid w:val="004B2D0A"/>
    <w:rsid w:val="004C6E93"/>
    <w:rsid w:val="00522A35"/>
    <w:rsid w:val="00534C07"/>
    <w:rsid w:val="0054212F"/>
    <w:rsid w:val="005740E1"/>
    <w:rsid w:val="00625956"/>
    <w:rsid w:val="00673351"/>
    <w:rsid w:val="006D6630"/>
    <w:rsid w:val="007010AA"/>
    <w:rsid w:val="007159E4"/>
    <w:rsid w:val="00751C2F"/>
    <w:rsid w:val="008927DE"/>
    <w:rsid w:val="008A6A9F"/>
    <w:rsid w:val="00951179"/>
    <w:rsid w:val="0096771E"/>
    <w:rsid w:val="009D3049"/>
    <w:rsid w:val="00A22CDC"/>
    <w:rsid w:val="00A84FB9"/>
    <w:rsid w:val="00AA1E70"/>
    <w:rsid w:val="00B02920"/>
    <w:rsid w:val="00C05A4A"/>
    <w:rsid w:val="00C6451F"/>
    <w:rsid w:val="00C90D26"/>
    <w:rsid w:val="00D319B6"/>
    <w:rsid w:val="00D64057"/>
    <w:rsid w:val="00D73857"/>
    <w:rsid w:val="00E23C2F"/>
    <w:rsid w:val="00E84F46"/>
    <w:rsid w:val="00ED1E66"/>
    <w:rsid w:val="00F02EA4"/>
    <w:rsid w:val="00F53971"/>
    <w:rsid w:val="00FC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DD2DE"/>
  <w15:chartTrackingRefBased/>
  <w15:docId w15:val="{2E5DBA02-2E08-4043-BB26-B1100757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1E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1E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E70"/>
    <w:pPr>
      <w:tabs>
        <w:tab w:val="center" w:pos="4153"/>
        <w:tab w:val="right" w:pos="8306"/>
      </w:tabs>
      <w:snapToGrid w:val="0"/>
      <w:jc w:val="center"/>
    </w:pPr>
    <w:rPr>
      <w:sz w:val="18"/>
      <w:szCs w:val="18"/>
    </w:rPr>
  </w:style>
  <w:style w:type="character" w:customStyle="1" w:styleId="a4">
    <w:name w:val="页眉 字符"/>
    <w:basedOn w:val="a0"/>
    <w:link w:val="a3"/>
    <w:uiPriority w:val="99"/>
    <w:rsid w:val="00AA1E70"/>
    <w:rPr>
      <w:sz w:val="18"/>
      <w:szCs w:val="18"/>
    </w:rPr>
  </w:style>
  <w:style w:type="paragraph" w:styleId="a5">
    <w:name w:val="footer"/>
    <w:basedOn w:val="a"/>
    <w:link w:val="a6"/>
    <w:uiPriority w:val="99"/>
    <w:unhideWhenUsed/>
    <w:rsid w:val="00AA1E70"/>
    <w:pPr>
      <w:tabs>
        <w:tab w:val="center" w:pos="4153"/>
        <w:tab w:val="right" w:pos="8306"/>
      </w:tabs>
      <w:snapToGrid w:val="0"/>
      <w:jc w:val="left"/>
    </w:pPr>
    <w:rPr>
      <w:sz w:val="18"/>
      <w:szCs w:val="18"/>
    </w:rPr>
  </w:style>
  <w:style w:type="character" w:customStyle="1" w:styleId="a6">
    <w:name w:val="页脚 字符"/>
    <w:basedOn w:val="a0"/>
    <w:link w:val="a5"/>
    <w:uiPriority w:val="99"/>
    <w:rsid w:val="00AA1E70"/>
    <w:rPr>
      <w:sz w:val="18"/>
      <w:szCs w:val="18"/>
    </w:rPr>
  </w:style>
  <w:style w:type="character" w:customStyle="1" w:styleId="10">
    <w:name w:val="标题 1 字符"/>
    <w:basedOn w:val="a0"/>
    <w:link w:val="1"/>
    <w:uiPriority w:val="9"/>
    <w:rsid w:val="00AA1E70"/>
    <w:rPr>
      <w:b/>
      <w:bCs/>
      <w:kern w:val="44"/>
      <w:sz w:val="44"/>
      <w:szCs w:val="44"/>
    </w:rPr>
  </w:style>
  <w:style w:type="paragraph" w:styleId="a7">
    <w:name w:val="Title"/>
    <w:basedOn w:val="a"/>
    <w:next w:val="a"/>
    <w:link w:val="a8"/>
    <w:uiPriority w:val="10"/>
    <w:qFormat/>
    <w:rsid w:val="00AA1E7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A1E7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A1E70"/>
    <w:rPr>
      <w:rFonts w:asciiTheme="majorHAnsi" w:eastAsiaTheme="majorEastAsia" w:hAnsiTheme="majorHAnsi" w:cstheme="majorBidi"/>
      <w:b/>
      <w:bCs/>
      <w:sz w:val="32"/>
      <w:szCs w:val="32"/>
    </w:rPr>
  </w:style>
  <w:style w:type="paragraph" w:styleId="a9">
    <w:name w:val="List Paragraph"/>
    <w:basedOn w:val="a"/>
    <w:uiPriority w:val="34"/>
    <w:qFormat/>
    <w:rsid w:val="005740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Qu</dc:creator>
  <cp:keywords/>
  <dc:description/>
  <cp:lastModifiedBy>熠辉 任</cp:lastModifiedBy>
  <cp:revision>2</cp:revision>
  <dcterms:created xsi:type="dcterms:W3CDTF">2024-04-28T17:26:00Z</dcterms:created>
  <dcterms:modified xsi:type="dcterms:W3CDTF">2024-04-28T17:26:00Z</dcterms:modified>
</cp:coreProperties>
</file>