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F7769" w14:textId="362B42B2" w:rsidR="00D84111" w:rsidRPr="00BD42E2" w:rsidRDefault="00D84111" w:rsidP="003C6A94">
      <w:pPr>
        <w:rPr>
          <w:sz w:val="20"/>
          <w:szCs w:val="20"/>
        </w:rPr>
      </w:pPr>
      <w:r w:rsidRPr="00D84111">
        <w:rPr>
          <w:sz w:val="20"/>
          <w:szCs w:val="20"/>
        </w:rPr>
        <w:t xml:space="preserve">Aiming to analyze the relationship between two species (mouse and human) TCR sequences in the </w:t>
      </w:r>
      <w:proofErr w:type="spellStart"/>
      <w:r w:rsidRPr="00D84111">
        <w:rPr>
          <w:sz w:val="20"/>
          <w:szCs w:val="20"/>
        </w:rPr>
        <w:t>vdjdb</w:t>
      </w:r>
      <w:proofErr w:type="spellEnd"/>
      <w:r w:rsidRPr="00D84111">
        <w:rPr>
          <w:sz w:val="20"/>
          <w:szCs w:val="20"/>
        </w:rPr>
        <w:t xml:space="preserve"> database and their antigen epitopes binding specificity, t-distributed Stochastic Neighbor Embedding (t-SNE) is used to visualize the clusters. t-SNE is a technique for dimensionality reduction particularly suitable for clustering visualization of high-dimensional datasets. The foundational principle of t-SNE starts by calculating the pairwise Euclidean distances between all data points in the high-dimensional space. Then all high-dimensional Euclidean distances will be converted into conditional probability which represents similarity (</w:t>
      </w:r>
      <w:r w:rsidRPr="00D84111">
        <w:rPr>
          <w:color w:val="4472C4" w:themeColor="accent1"/>
          <w:sz w:val="20"/>
          <w:szCs w:val="20"/>
        </w:rPr>
        <w:t xml:space="preserve">Van der </w:t>
      </w:r>
      <w:proofErr w:type="spellStart"/>
      <w:r w:rsidRPr="00D84111">
        <w:rPr>
          <w:color w:val="4472C4" w:themeColor="accent1"/>
          <w:sz w:val="20"/>
          <w:szCs w:val="20"/>
        </w:rPr>
        <w:t>Maaten</w:t>
      </w:r>
      <w:proofErr w:type="spellEnd"/>
      <w:r w:rsidRPr="00D84111">
        <w:rPr>
          <w:color w:val="4472C4" w:themeColor="accent1"/>
          <w:sz w:val="20"/>
          <w:szCs w:val="20"/>
        </w:rPr>
        <w:t xml:space="preserve"> </w:t>
      </w:r>
      <w:proofErr w:type="spellStart"/>
      <w:r w:rsidRPr="00D84111">
        <w:rPr>
          <w:color w:val="4472C4" w:themeColor="accent1"/>
          <w:sz w:val="20"/>
          <w:szCs w:val="20"/>
        </w:rPr>
        <w:t>LHinton</w:t>
      </w:r>
      <w:proofErr w:type="spellEnd"/>
      <w:r w:rsidRPr="00D84111">
        <w:rPr>
          <w:color w:val="4472C4" w:themeColor="accent1"/>
          <w:sz w:val="20"/>
          <w:szCs w:val="20"/>
        </w:rPr>
        <w:t xml:space="preserve"> G2008Visualizing data using t-</w:t>
      </w:r>
      <w:proofErr w:type="spellStart"/>
      <w:r w:rsidRPr="00D84111">
        <w:rPr>
          <w:color w:val="4472C4" w:themeColor="accent1"/>
          <w:sz w:val="20"/>
          <w:szCs w:val="20"/>
        </w:rPr>
        <w:t>SNEJournal</w:t>
      </w:r>
      <w:proofErr w:type="spellEnd"/>
      <w:r w:rsidRPr="00D84111">
        <w:rPr>
          <w:color w:val="4472C4" w:themeColor="accent1"/>
          <w:sz w:val="20"/>
          <w:szCs w:val="20"/>
        </w:rPr>
        <w:t xml:space="preserve"> of machine learning research 9</w:t>
      </w:r>
      <w:r w:rsidRPr="00D84111">
        <w:rPr>
          <w:sz w:val="20"/>
          <w:szCs w:val="20"/>
        </w:rPr>
        <w:t>). Basically, the mathematic formula is given by:</w:t>
      </w:r>
    </w:p>
    <w:p w14:paraId="068F4946" w14:textId="151EC528" w:rsidR="003C6A94" w:rsidRDefault="00127116" w:rsidP="003C6A94">
      <w:pPr>
        <w:rPr>
          <w:sz w:val="20"/>
          <w:szCs w:val="20"/>
        </w:rPr>
      </w:pPr>
      <w:r>
        <w:rPr>
          <w:rFonts w:hint="eastAsia"/>
          <w:sz w:val="20"/>
          <w:szCs w:val="20"/>
        </w:rPr>
        <w:t xml:space="preserve">                          </w:t>
      </w:r>
      <w:r>
        <w:rPr>
          <w:noProof/>
        </w:rPr>
        <w:drawing>
          <wp:inline distT="0" distB="0" distL="0" distR="0" wp14:anchorId="587E3FB5" wp14:editId="7CE0DBAA">
            <wp:extent cx="2343249" cy="466725"/>
            <wp:effectExtent l="0" t="0" r="0" b="0"/>
            <wp:docPr id="1111363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63404" name=""/>
                    <pic:cNvPicPr/>
                  </pic:nvPicPr>
                  <pic:blipFill>
                    <a:blip r:embed="rId7"/>
                    <a:stretch>
                      <a:fillRect/>
                    </a:stretch>
                  </pic:blipFill>
                  <pic:spPr>
                    <a:xfrm>
                      <a:off x="0" y="0"/>
                      <a:ext cx="2387104" cy="475460"/>
                    </a:xfrm>
                    <a:prstGeom prst="rect">
                      <a:avLst/>
                    </a:prstGeom>
                  </pic:spPr>
                </pic:pic>
              </a:graphicData>
            </a:graphic>
          </wp:inline>
        </w:drawing>
      </w:r>
    </w:p>
    <w:p w14:paraId="4CB0B977" w14:textId="07FFF445" w:rsidR="003C6A94" w:rsidRDefault="00127116" w:rsidP="00C67B88">
      <w:pPr>
        <w:rPr>
          <w:noProof/>
        </w:rPr>
      </w:pPr>
      <w:proofErr w:type="spellStart"/>
      <w:r>
        <w:rPr>
          <w:rFonts w:hint="eastAsia"/>
          <w:sz w:val="20"/>
          <w:szCs w:val="20"/>
        </w:rPr>
        <w:t>Pj|i</w:t>
      </w:r>
      <w:proofErr w:type="spellEnd"/>
      <w:r>
        <w:rPr>
          <w:rFonts w:hint="eastAsia"/>
          <w:sz w:val="20"/>
          <w:szCs w:val="20"/>
        </w:rPr>
        <w:t xml:space="preserve"> is the conditional </w:t>
      </w:r>
      <w:r>
        <w:rPr>
          <w:sz w:val="20"/>
          <w:szCs w:val="20"/>
        </w:rPr>
        <w:t>probability</w:t>
      </w:r>
      <w:r>
        <w:rPr>
          <w:rFonts w:hint="eastAsia"/>
          <w:sz w:val="20"/>
          <w:szCs w:val="20"/>
        </w:rPr>
        <w:t xml:space="preserve"> from </w:t>
      </w:r>
      <w:proofErr w:type="spellStart"/>
      <w:r w:rsidR="00D81CF6">
        <w:rPr>
          <w:rFonts w:hint="eastAsia"/>
          <w:sz w:val="20"/>
          <w:szCs w:val="20"/>
        </w:rPr>
        <w:t>i</w:t>
      </w:r>
      <w:proofErr w:type="spellEnd"/>
      <w:r>
        <w:rPr>
          <w:rFonts w:hint="eastAsia"/>
          <w:sz w:val="20"/>
          <w:szCs w:val="20"/>
        </w:rPr>
        <w:t xml:space="preserve"> point to </w:t>
      </w:r>
      <w:r w:rsidR="00D81CF6">
        <w:rPr>
          <w:rFonts w:hint="eastAsia"/>
          <w:sz w:val="20"/>
          <w:szCs w:val="20"/>
        </w:rPr>
        <w:t>j</w:t>
      </w:r>
      <w:r>
        <w:rPr>
          <w:rFonts w:hint="eastAsia"/>
          <w:sz w:val="20"/>
          <w:szCs w:val="20"/>
        </w:rPr>
        <w:t xml:space="preserve"> point, </w:t>
      </w:r>
      <w:r w:rsidRPr="00127116">
        <w:rPr>
          <w:sz w:val="20"/>
          <w:szCs w:val="20"/>
        </w:rPr>
        <w:t xml:space="preserve">which is the similarity from </w:t>
      </w:r>
      <w:proofErr w:type="spellStart"/>
      <w:r w:rsidR="00D81CF6">
        <w:rPr>
          <w:rFonts w:hint="eastAsia"/>
          <w:sz w:val="20"/>
          <w:szCs w:val="20"/>
        </w:rPr>
        <w:t>i</w:t>
      </w:r>
      <w:proofErr w:type="spellEnd"/>
      <w:r w:rsidRPr="00127116">
        <w:rPr>
          <w:sz w:val="20"/>
          <w:szCs w:val="20"/>
        </w:rPr>
        <w:t xml:space="preserve"> to </w:t>
      </w:r>
      <w:r w:rsidR="00D81CF6">
        <w:rPr>
          <w:rFonts w:hint="eastAsia"/>
          <w:sz w:val="20"/>
          <w:szCs w:val="20"/>
        </w:rPr>
        <w:t>j</w:t>
      </w:r>
      <w:r>
        <w:rPr>
          <w:rFonts w:hint="eastAsia"/>
          <w:sz w:val="20"/>
          <w:szCs w:val="20"/>
        </w:rPr>
        <w:t xml:space="preserve">. </w:t>
      </w:r>
      <w:r w:rsidR="00D81CF6">
        <w:rPr>
          <w:rFonts w:hint="eastAsia"/>
          <w:sz w:val="20"/>
          <w:szCs w:val="20"/>
        </w:rPr>
        <w:t xml:space="preserve">The above process involves a centered on xi, </w:t>
      </w:r>
      <w:r w:rsidR="00D81CF6" w:rsidRPr="00D81CF6">
        <w:rPr>
          <w:sz w:val="20"/>
          <w:szCs w:val="20"/>
        </w:rPr>
        <w:t xml:space="preserve">σ </w:t>
      </w:r>
      <w:proofErr w:type="spellStart"/>
      <w:r w:rsidR="00D81CF6" w:rsidRPr="00D81CF6">
        <w:rPr>
          <w:sz w:val="20"/>
          <w:szCs w:val="20"/>
        </w:rPr>
        <w:t>i</w:t>
      </w:r>
      <w:proofErr w:type="spellEnd"/>
      <w:r w:rsidR="00D81CF6" w:rsidRPr="00D81CF6">
        <w:rPr>
          <w:sz w:val="20"/>
          <w:szCs w:val="20"/>
        </w:rPr>
        <w:t xml:space="preserve"> </w:t>
      </w:r>
      <w:r w:rsidR="00D81CF6">
        <w:rPr>
          <w:rFonts w:hint="eastAsia"/>
          <w:sz w:val="20"/>
          <w:szCs w:val="20"/>
        </w:rPr>
        <w:t xml:space="preserve">as </w:t>
      </w:r>
      <w:r w:rsidR="00D81CF6" w:rsidRPr="00D81CF6">
        <w:rPr>
          <w:sz w:val="20"/>
          <w:szCs w:val="20"/>
        </w:rPr>
        <w:t>the variance</w:t>
      </w:r>
      <w:r w:rsidR="00D81CF6">
        <w:rPr>
          <w:rFonts w:hint="eastAsia"/>
          <w:sz w:val="20"/>
          <w:szCs w:val="20"/>
        </w:rPr>
        <w:t xml:space="preserve"> Gaussian distribution</w:t>
      </w:r>
      <w:r w:rsidR="00C67B88">
        <w:rPr>
          <w:rFonts w:hint="eastAsia"/>
          <w:sz w:val="20"/>
          <w:szCs w:val="20"/>
        </w:rPr>
        <w:t>.</w:t>
      </w:r>
      <w:r w:rsidR="00C67B88" w:rsidRPr="00C67B88">
        <w:rPr>
          <w:noProof/>
        </w:rPr>
        <w:t xml:space="preserve"> </w:t>
      </w:r>
      <w:r w:rsidR="00C67B88">
        <w:rPr>
          <w:noProof/>
        </w:rPr>
        <w:drawing>
          <wp:inline distT="0" distB="0" distL="0" distR="0" wp14:anchorId="6424AC05" wp14:editId="7BFDB44E">
            <wp:extent cx="2024380" cy="1579418"/>
            <wp:effectExtent l="0" t="0" r="0" b="1905"/>
            <wp:docPr id="1194377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7691" name=""/>
                    <pic:cNvPicPr/>
                  </pic:nvPicPr>
                  <pic:blipFill rotWithShape="1">
                    <a:blip r:embed="rId8"/>
                    <a:srcRect b="579"/>
                    <a:stretch/>
                  </pic:blipFill>
                  <pic:spPr bwMode="auto">
                    <a:xfrm>
                      <a:off x="0" y="0"/>
                      <a:ext cx="2024743" cy="1579701"/>
                    </a:xfrm>
                    <a:prstGeom prst="rect">
                      <a:avLst/>
                    </a:prstGeom>
                    <a:ln>
                      <a:noFill/>
                    </a:ln>
                    <a:extLst>
                      <a:ext uri="{53640926-AAD7-44D8-BBD7-CCE9431645EC}">
                        <a14:shadowObscured xmlns:a14="http://schemas.microsoft.com/office/drawing/2010/main"/>
                      </a:ext>
                    </a:extLst>
                  </pic:spPr>
                </pic:pic>
              </a:graphicData>
            </a:graphic>
          </wp:inline>
        </w:drawing>
      </w:r>
      <w:r w:rsidR="00C67B88" w:rsidRPr="00C67B88">
        <w:rPr>
          <w:noProof/>
        </w:rPr>
        <w:t xml:space="preserve"> </w:t>
      </w:r>
      <w:r w:rsidR="00C67B88">
        <w:rPr>
          <w:noProof/>
        </w:rPr>
        <w:drawing>
          <wp:inline distT="0" distB="0" distL="0" distR="0" wp14:anchorId="48AF489E" wp14:editId="0C1E4629">
            <wp:extent cx="3139155" cy="914400"/>
            <wp:effectExtent l="0" t="0" r="4445" b="0"/>
            <wp:docPr id="1694298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98786" name=""/>
                    <pic:cNvPicPr/>
                  </pic:nvPicPr>
                  <pic:blipFill rotWithShape="1">
                    <a:blip r:embed="rId9"/>
                    <a:srcRect r="2089" b="2834"/>
                    <a:stretch/>
                  </pic:blipFill>
                  <pic:spPr bwMode="auto">
                    <a:xfrm>
                      <a:off x="0" y="0"/>
                      <a:ext cx="3241552" cy="944227"/>
                    </a:xfrm>
                    <a:prstGeom prst="rect">
                      <a:avLst/>
                    </a:prstGeom>
                    <a:ln>
                      <a:noFill/>
                    </a:ln>
                    <a:extLst>
                      <a:ext uri="{53640926-AAD7-44D8-BBD7-CCE9431645EC}">
                        <a14:shadowObscured xmlns:a14="http://schemas.microsoft.com/office/drawing/2010/main"/>
                      </a:ext>
                    </a:extLst>
                  </pic:spPr>
                </pic:pic>
              </a:graphicData>
            </a:graphic>
          </wp:inline>
        </w:drawing>
      </w:r>
    </w:p>
    <w:p w14:paraId="7803A892" w14:textId="3321E7BE" w:rsidR="00C67B88" w:rsidRDefault="00C67B88" w:rsidP="00C67B88">
      <w:pPr>
        <w:rPr>
          <w:sz w:val="20"/>
          <w:szCs w:val="20"/>
        </w:rPr>
      </w:pPr>
      <w:r>
        <w:rPr>
          <w:rFonts w:hint="eastAsia"/>
          <w:sz w:val="20"/>
          <w:szCs w:val="20"/>
        </w:rPr>
        <w:t xml:space="preserve">The objective of t-SNE is </w:t>
      </w:r>
      <w:r w:rsidR="007B0364">
        <w:rPr>
          <w:rFonts w:hint="eastAsia"/>
          <w:sz w:val="20"/>
          <w:szCs w:val="20"/>
        </w:rPr>
        <w:t>to reduce the dimension of the data, project data from high-dimensional space to a low-dimensional space</w:t>
      </w:r>
      <w:r w:rsidR="002400F0">
        <w:rPr>
          <w:rFonts w:hint="eastAsia"/>
          <w:sz w:val="20"/>
          <w:szCs w:val="20"/>
        </w:rPr>
        <w:t xml:space="preserve"> </w:t>
      </w:r>
      <w:r w:rsidR="002400F0" w:rsidRPr="002400F0">
        <w:rPr>
          <w:sz w:val="20"/>
          <w:szCs w:val="20"/>
        </w:rPr>
        <w:t>while retaining as many features as possible</w:t>
      </w:r>
      <w:r w:rsidR="00CB7753">
        <w:rPr>
          <w:rFonts w:hint="eastAsia"/>
          <w:sz w:val="20"/>
          <w:szCs w:val="20"/>
        </w:rPr>
        <w:t>. Ideally</w:t>
      </w:r>
      <w:r w:rsidR="00290919">
        <w:rPr>
          <w:rFonts w:hint="eastAsia"/>
          <w:sz w:val="20"/>
          <w:szCs w:val="20"/>
        </w:rPr>
        <w:t>,</w:t>
      </w:r>
      <w:r w:rsidR="00CB7753">
        <w:rPr>
          <w:rFonts w:hint="eastAsia"/>
          <w:sz w:val="20"/>
          <w:szCs w:val="20"/>
        </w:rPr>
        <w:t xml:space="preserve"> it </w:t>
      </w:r>
      <w:r w:rsidR="00CB7753" w:rsidRPr="00CB7753">
        <w:rPr>
          <w:sz w:val="20"/>
          <w:szCs w:val="20"/>
        </w:rPr>
        <w:t>expect</w:t>
      </w:r>
      <w:r w:rsidR="00CB7753">
        <w:rPr>
          <w:rFonts w:hint="eastAsia"/>
          <w:sz w:val="20"/>
          <w:szCs w:val="20"/>
        </w:rPr>
        <w:t xml:space="preserve">s </w:t>
      </w:r>
      <w:r w:rsidR="00CB7753" w:rsidRPr="00CB7753">
        <w:rPr>
          <w:sz w:val="20"/>
          <w:szCs w:val="20"/>
        </w:rPr>
        <w:t xml:space="preserve">the conditional probability </w:t>
      </w:r>
      <w:proofErr w:type="spellStart"/>
      <w:r w:rsidR="00CB7753" w:rsidRPr="00CB7753">
        <w:rPr>
          <w:sz w:val="20"/>
          <w:szCs w:val="20"/>
        </w:rPr>
        <w:t>q</w:t>
      </w:r>
      <w:r w:rsidR="00C52791">
        <w:rPr>
          <w:rFonts w:hint="eastAsia"/>
          <w:sz w:val="20"/>
          <w:szCs w:val="20"/>
        </w:rPr>
        <w:t>j|i</w:t>
      </w:r>
      <w:proofErr w:type="spellEnd"/>
      <w:r w:rsidR="00CB7753" w:rsidRPr="00CB7753">
        <w:rPr>
          <w:sz w:val="20"/>
          <w:szCs w:val="20"/>
        </w:rPr>
        <w:t xml:space="preserve"> in the low</w:t>
      </w:r>
      <w:r w:rsidR="00C52791">
        <w:rPr>
          <w:rFonts w:hint="eastAsia"/>
          <w:sz w:val="20"/>
          <w:szCs w:val="20"/>
        </w:rPr>
        <w:t xml:space="preserve"> </w:t>
      </w:r>
      <w:r w:rsidR="00CB7753" w:rsidRPr="00CB7753">
        <w:rPr>
          <w:sz w:val="20"/>
          <w:szCs w:val="20"/>
        </w:rPr>
        <w:t>dimension</w:t>
      </w:r>
      <w:r w:rsidR="00290919">
        <w:rPr>
          <w:rFonts w:hint="eastAsia"/>
          <w:sz w:val="20"/>
          <w:szCs w:val="20"/>
        </w:rPr>
        <w:t xml:space="preserve"> to</w:t>
      </w:r>
      <w:r w:rsidR="00CB7753" w:rsidRPr="00CB7753">
        <w:rPr>
          <w:sz w:val="20"/>
          <w:szCs w:val="20"/>
        </w:rPr>
        <w:t xml:space="preserve"> be as close as possible to the </w:t>
      </w:r>
      <w:proofErr w:type="spellStart"/>
      <w:r w:rsidR="00CB7753" w:rsidRPr="00CB7753">
        <w:rPr>
          <w:sz w:val="20"/>
          <w:szCs w:val="20"/>
        </w:rPr>
        <w:t>p</w:t>
      </w:r>
      <w:r w:rsidR="006C64B4">
        <w:rPr>
          <w:rFonts w:hint="eastAsia"/>
          <w:sz w:val="20"/>
          <w:szCs w:val="20"/>
        </w:rPr>
        <w:t>i|j</w:t>
      </w:r>
      <w:proofErr w:type="spellEnd"/>
      <w:r w:rsidR="00CB7753" w:rsidRPr="00CB7753">
        <w:rPr>
          <w:sz w:val="20"/>
          <w:szCs w:val="20"/>
        </w:rPr>
        <w:t xml:space="preserve"> in the high</w:t>
      </w:r>
      <w:r w:rsidR="006C64B4">
        <w:rPr>
          <w:rFonts w:hint="eastAsia"/>
          <w:sz w:val="20"/>
          <w:szCs w:val="20"/>
        </w:rPr>
        <w:t xml:space="preserve"> </w:t>
      </w:r>
      <w:r w:rsidR="00CB7753" w:rsidRPr="00CB7753">
        <w:rPr>
          <w:sz w:val="20"/>
          <w:szCs w:val="20"/>
        </w:rPr>
        <w:t>dimensions.</w:t>
      </w:r>
      <w:r w:rsidR="005E7279">
        <w:rPr>
          <w:rFonts w:hint="eastAsia"/>
          <w:sz w:val="20"/>
          <w:szCs w:val="20"/>
        </w:rPr>
        <w:t xml:space="preserve"> </w:t>
      </w:r>
      <w:r w:rsidR="00681F4A" w:rsidRPr="00681F4A">
        <w:rPr>
          <w:sz w:val="20"/>
          <w:szCs w:val="20"/>
        </w:rPr>
        <w:t xml:space="preserve">This is achieved by minimizing the </w:t>
      </w:r>
      <w:proofErr w:type="spellStart"/>
      <w:r w:rsidR="00681F4A" w:rsidRPr="00681F4A">
        <w:rPr>
          <w:sz w:val="20"/>
          <w:szCs w:val="20"/>
        </w:rPr>
        <w:t>Kullback-Leibler</w:t>
      </w:r>
      <w:proofErr w:type="spellEnd"/>
      <w:r w:rsidR="00681F4A" w:rsidRPr="00681F4A">
        <w:rPr>
          <w:sz w:val="20"/>
          <w:szCs w:val="20"/>
        </w:rPr>
        <w:t xml:space="preserve"> </w:t>
      </w:r>
      <w:r w:rsidR="00681F4A">
        <w:rPr>
          <w:rFonts w:hint="eastAsia"/>
          <w:sz w:val="20"/>
          <w:szCs w:val="20"/>
        </w:rPr>
        <w:t>d</w:t>
      </w:r>
      <w:r w:rsidR="00681F4A" w:rsidRPr="00681F4A">
        <w:rPr>
          <w:sz w:val="20"/>
          <w:szCs w:val="20"/>
        </w:rPr>
        <w:t>ivergences between the high-dimensional and low-dimensional probabilities. Specifically, t-SNE will employ</w:t>
      </w:r>
      <w:r w:rsidR="00681F4A">
        <w:rPr>
          <w:rFonts w:hint="eastAsia"/>
          <w:sz w:val="20"/>
          <w:szCs w:val="20"/>
        </w:rPr>
        <w:t xml:space="preserve"> </w:t>
      </w:r>
      <w:r w:rsidR="00681F4A" w:rsidRPr="00681F4A">
        <w:rPr>
          <w:sz w:val="20"/>
          <w:szCs w:val="20"/>
        </w:rPr>
        <w:t>gradient descent</w:t>
      </w:r>
      <w:r w:rsidR="00681F4A">
        <w:rPr>
          <w:rFonts w:hint="eastAsia"/>
          <w:sz w:val="20"/>
          <w:szCs w:val="20"/>
        </w:rPr>
        <w:t xml:space="preserve"> </w:t>
      </w:r>
      <w:r w:rsidR="00F861ED">
        <w:rPr>
          <w:rFonts w:hint="eastAsia"/>
          <w:sz w:val="20"/>
          <w:szCs w:val="20"/>
        </w:rPr>
        <w:t xml:space="preserve">to optimize </w:t>
      </w:r>
      <w:r w:rsidR="00681F4A" w:rsidRPr="00681F4A">
        <w:rPr>
          <w:sz w:val="20"/>
          <w:szCs w:val="20"/>
        </w:rPr>
        <w:t>the loss function</w:t>
      </w:r>
      <w:r w:rsidR="00C111C8">
        <w:rPr>
          <w:rFonts w:hint="eastAsia"/>
          <w:sz w:val="20"/>
          <w:szCs w:val="20"/>
        </w:rPr>
        <w:t xml:space="preserve"> C</w:t>
      </w:r>
      <w:r w:rsidR="00681F4A" w:rsidRPr="00681F4A">
        <w:rPr>
          <w:sz w:val="20"/>
          <w:szCs w:val="20"/>
        </w:rPr>
        <w:t>.</w:t>
      </w:r>
      <w:r w:rsidR="00F861ED">
        <w:rPr>
          <w:rFonts w:hint="eastAsia"/>
          <w:sz w:val="20"/>
          <w:szCs w:val="20"/>
        </w:rPr>
        <w:t xml:space="preserve"> </w:t>
      </w:r>
      <w:r w:rsidR="005E7279">
        <w:rPr>
          <w:rFonts w:hint="eastAsia"/>
          <w:sz w:val="20"/>
          <w:szCs w:val="20"/>
        </w:rPr>
        <w:t xml:space="preserve">Formular of </w:t>
      </w:r>
      <w:proofErr w:type="spellStart"/>
      <w:r w:rsidR="005E7279">
        <w:rPr>
          <w:rFonts w:hint="eastAsia"/>
          <w:sz w:val="20"/>
          <w:szCs w:val="20"/>
        </w:rPr>
        <w:t>qj|i</w:t>
      </w:r>
      <w:proofErr w:type="spellEnd"/>
      <w:r w:rsidR="005E7279">
        <w:rPr>
          <w:rFonts w:hint="eastAsia"/>
          <w:sz w:val="20"/>
          <w:szCs w:val="20"/>
        </w:rPr>
        <w:t xml:space="preserve"> </w:t>
      </w:r>
      <w:r w:rsidR="00F861ED">
        <w:rPr>
          <w:rFonts w:hint="eastAsia"/>
          <w:sz w:val="20"/>
          <w:szCs w:val="20"/>
        </w:rPr>
        <w:t>and loss function are</w:t>
      </w:r>
      <w:r w:rsidR="005E7279">
        <w:rPr>
          <w:rFonts w:hint="eastAsia"/>
          <w:sz w:val="20"/>
          <w:szCs w:val="20"/>
        </w:rPr>
        <w:t xml:space="preserve"> given by:</w:t>
      </w:r>
    </w:p>
    <w:p w14:paraId="3F1C1A74" w14:textId="08AAAD34" w:rsidR="005E7279" w:rsidRDefault="003B7B6B" w:rsidP="005E7279">
      <w:pPr>
        <w:jc w:val="center"/>
        <w:rPr>
          <w:sz w:val="20"/>
          <w:szCs w:val="20"/>
        </w:rPr>
      </w:pPr>
      <w:r>
        <w:rPr>
          <w:noProof/>
        </w:rPr>
        <w:drawing>
          <wp:inline distT="0" distB="0" distL="0" distR="0" wp14:anchorId="7FE0ACB5" wp14:editId="2BF75D74">
            <wp:extent cx="2079126" cy="421574"/>
            <wp:effectExtent l="0" t="0" r="0" b="0"/>
            <wp:docPr id="1276523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3242" name=""/>
                    <pic:cNvPicPr/>
                  </pic:nvPicPr>
                  <pic:blipFill>
                    <a:blip r:embed="rId10"/>
                    <a:stretch>
                      <a:fillRect/>
                    </a:stretch>
                  </pic:blipFill>
                  <pic:spPr>
                    <a:xfrm>
                      <a:off x="0" y="0"/>
                      <a:ext cx="2120377" cy="429938"/>
                    </a:xfrm>
                    <a:prstGeom prst="rect">
                      <a:avLst/>
                    </a:prstGeom>
                  </pic:spPr>
                </pic:pic>
              </a:graphicData>
            </a:graphic>
          </wp:inline>
        </w:drawing>
      </w:r>
      <w:r>
        <w:rPr>
          <w:noProof/>
        </w:rPr>
        <w:t xml:space="preserve"> </w:t>
      </w:r>
      <w:r w:rsidR="005E7279">
        <w:rPr>
          <w:noProof/>
        </w:rPr>
        <w:drawing>
          <wp:inline distT="0" distB="0" distL="0" distR="0" wp14:anchorId="7171F310" wp14:editId="5C70B0C7">
            <wp:extent cx="1952098" cy="497964"/>
            <wp:effectExtent l="0" t="0" r="0" b="0"/>
            <wp:docPr id="773115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5461" name=""/>
                    <pic:cNvPicPr/>
                  </pic:nvPicPr>
                  <pic:blipFill rotWithShape="1">
                    <a:blip r:embed="rId11"/>
                    <a:srcRect t="8709" r="6987"/>
                    <a:stretch/>
                  </pic:blipFill>
                  <pic:spPr bwMode="auto">
                    <a:xfrm>
                      <a:off x="0" y="0"/>
                      <a:ext cx="2007784" cy="512169"/>
                    </a:xfrm>
                    <a:prstGeom prst="rect">
                      <a:avLst/>
                    </a:prstGeom>
                    <a:ln>
                      <a:noFill/>
                    </a:ln>
                    <a:extLst>
                      <a:ext uri="{53640926-AAD7-44D8-BBD7-CCE9431645EC}">
                        <a14:shadowObscured xmlns:a14="http://schemas.microsoft.com/office/drawing/2010/main"/>
                      </a:ext>
                    </a:extLst>
                  </pic:spPr>
                </pic:pic>
              </a:graphicData>
            </a:graphic>
          </wp:inline>
        </w:drawing>
      </w:r>
    </w:p>
    <w:p w14:paraId="4AFFB27F" w14:textId="513D4207" w:rsidR="00894A14" w:rsidRPr="00C67B88" w:rsidRDefault="00A434A9" w:rsidP="00894A14">
      <w:pPr>
        <w:rPr>
          <w:sz w:val="20"/>
          <w:szCs w:val="20"/>
        </w:rPr>
      </w:pPr>
      <w:r>
        <w:rPr>
          <w:rFonts w:hint="eastAsia"/>
          <w:sz w:val="20"/>
          <w:szCs w:val="20"/>
        </w:rPr>
        <w:t>In particular</w:t>
      </w:r>
      <w:r w:rsidR="000432FD">
        <w:rPr>
          <w:rFonts w:hint="eastAsia"/>
          <w:sz w:val="20"/>
          <w:szCs w:val="20"/>
        </w:rPr>
        <w:t xml:space="preserve">, </w:t>
      </w:r>
      <w:r w:rsidRPr="00A434A9">
        <w:rPr>
          <w:sz w:val="20"/>
          <w:szCs w:val="20"/>
        </w:rPr>
        <w:t>alpha and beta chain TCR distance matrices</w:t>
      </w:r>
      <w:r>
        <w:rPr>
          <w:rFonts w:hint="eastAsia"/>
          <w:sz w:val="20"/>
          <w:szCs w:val="20"/>
        </w:rPr>
        <w:t xml:space="preserve"> </w:t>
      </w:r>
      <w:r>
        <w:rPr>
          <w:sz w:val="20"/>
          <w:szCs w:val="20"/>
        </w:rPr>
        <w:t>have</w:t>
      </w:r>
      <w:r>
        <w:rPr>
          <w:rFonts w:hint="eastAsia"/>
          <w:sz w:val="20"/>
          <w:szCs w:val="20"/>
        </w:rPr>
        <w:t xml:space="preserve"> been calculated by </w:t>
      </w:r>
      <w:proofErr w:type="spellStart"/>
      <w:r w:rsidR="00FC2C08">
        <w:rPr>
          <w:sz w:val="20"/>
          <w:szCs w:val="20"/>
        </w:rPr>
        <w:t>TCRdist</w:t>
      </w:r>
      <w:proofErr w:type="spellEnd"/>
      <w:r w:rsidR="00FC2C08">
        <w:rPr>
          <w:sz w:val="20"/>
          <w:szCs w:val="20"/>
        </w:rPr>
        <w:t xml:space="preserve"> previous</w:t>
      </w:r>
      <w:r>
        <w:rPr>
          <w:rFonts w:hint="eastAsia"/>
          <w:sz w:val="20"/>
          <w:szCs w:val="20"/>
        </w:rPr>
        <w:t xml:space="preserve">, and </w:t>
      </w:r>
      <w:r w:rsidRPr="00A434A9">
        <w:rPr>
          <w:sz w:val="20"/>
          <w:szCs w:val="20"/>
        </w:rPr>
        <w:t xml:space="preserve">t-SNE </w:t>
      </w:r>
      <w:r>
        <w:rPr>
          <w:rFonts w:hint="eastAsia"/>
          <w:sz w:val="20"/>
          <w:szCs w:val="20"/>
        </w:rPr>
        <w:t>accepts</w:t>
      </w:r>
      <w:r w:rsidRPr="00A434A9">
        <w:rPr>
          <w:sz w:val="20"/>
          <w:szCs w:val="20"/>
        </w:rPr>
        <w:t xml:space="preserve"> the distance matrix as input.</w:t>
      </w:r>
      <w:r>
        <w:rPr>
          <w:rFonts w:hint="eastAsia"/>
          <w:sz w:val="20"/>
          <w:szCs w:val="20"/>
        </w:rPr>
        <w:t xml:space="preserve"> In other word, </w:t>
      </w:r>
      <w:r w:rsidR="00290919">
        <w:rPr>
          <w:rFonts w:hint="eastAsia"/>
          <w:sz w:val="20"/>
          <w:szCs w:val="20"/>
        </w:rPr>
        <w:t xml:space="preserve">the </w:t>
      </w:r>
      <w:r w:rsidRPr="00A434A9">
        <w:rPr>
          <w:sz w:val="20"/>
          <w:szCs w:val="20"/>
        </w:rPr>
        <w:t xml:space="preserve">distances </w:t>
      </w:r>
      <w:r>
        <w:rPr>
          <w:rFonts w:hint="eastAsia"/>
          <w:sz w:val="20"/>
          <w:szCs w:val="20"/>
        </w:rPr>
        <w:t xml:space="preserve">matrix </w:t>
      </w:r>
      <w:r w:rsidRPr="00A434A9">
        <w:rPr>
          <w:sz w:val="20"/>
          <w:szCs w:val="20"/>
        </w:rPr>
        <w:t>will be directly used to compute the probability of similarity between points</w:t>
      </w:r>
      <w:r>
        <w:rPr>
          <w:rFonts w:hint="eastAsia"/>
          <w:sz w:val="20"/>
          <w:szCs w:val="20"/>
        </w:rPr>
        <w:t xml:space="preserve"> (TCR sequence)</w:t>
      </w:r>
      <w:r w:rsidRPr="00A434A9">
        <w:rPr>
          <w:sz w:val="20"/>
          <w:szCs w:val="20"/>
        </w:rPr>
        <w:t>.</w:t>
      </w:r>
      <w:r w:rsidR="000039CC" w:rsidRPr="000039CC">
        <w:t xml:space="preserve"> </w:t>
      </w:r>
      <w:r w:rsidR="000039CC" w:rsidRPr="000039CC">
        <w:rPr>
          <w:sz w:val="20"/>
          <w:szCs w:val="20"/>
        </w:rPr>
        <w:t xml:space="preserve">Eventually, the high-dimensional TCR distance matrix is </w:t>
      </w:r>
      <w:r w:rsidR="000039CC">
        <w:rPr>
          <w:rFonts w:hint="eastAsia"/>
          <w:sz w:val="20"/>
          <w:szCs w:val="20"/>
        </w:rPr>
        <w:t xml:space="preserve">projected </w:t>
      </w:r>
      <w:r w:rsidR="000039CC" w:rsidRPr="000039CC">
        <w:rPr>
          <w:sz w:val="20"/>
          <w:szCs w:val="20"/>
        </w:rPr>
        <w:t>into a 2-dimensional</w:t>
      </w:r>
      <w:r w:rsidR="000039CC">
        <w:rPr>
          <w:rFonts w:hint="eastAsia"/>
          <w:sz w:val="20"/>
          <w:szCs w:val="20"/>
        </w:rPr>
        <w:t xml:space="preserve"> space</w:t>
      </w:r>
      <w:r w:rsidR="000039CC" w:rsidRPr="000039CC">
        <w:rPr>
          <w:sz w:val="20"/>
          <w:szCs w:val="20"/>
        </w:rPr>
        <w:t xml:space="preserve">, and the low-dimensional clustering </w:t>
      </w:r>
      <w:r w:rsidR="000039CC">
        <w:rPr>
          <w:rFonts w:hint="eastAsia"/>
          <w:sz w:val="20"/>
          <w:szCs w:val="20"/>
        </w:rPr>
        <w:t xml:space="preserve">plot </w:t>
      </w:r>
      <w:r w:rsidR="000039CC" w:rsidRPr="000039CC">
        <w:rPr>
          <w:sz w:val="20"/>
          <w:szCs w:val="20"/>
        </w:rPr>
        <w:t>is more readable</w:t>
      </w:r>
      <w:r w:rsidR="000039CC">
        <w:rPr>
          <w:rFonts w:hint="eastAsia"/>
          <w:sz w:val="20"/>
          <w:szCs w:val="20"/>
        </w:rPr>
        <w:t xml:space="preserve"> and</w:t>
      </w:r>
      <w:r w:rsidR="000039CC" w:rsidRPr="000039CC">
        <w:rPr>
          <w:sz w:val="20"/>
          <w:szCs w:val="20"/>
        </w:rPr>
        <w:t xml:space="preserve"> beneficial for </w:t>
      </w:r>
      <w:r w:rsidR="000039CC">
        <w:rPr>
          <w:rFonts w:hint="eastAsia"/>
          <w:sz w:val="20"/>
          <w:szCs w:val="20"/>
        </w:rPr>
        <w:t xml:space="preserve">specificity </w:t>
      </w:r>
      <w:r w:rsidR="000039CC" w:rsidRPr="000039CC">
        <w:rPr>
          <w:sz w:val="20"/>
          <w:szCs w:val="20"/>
        </w:rPr>
        <w:t>analysis</w:t>
      </w:r>
      <w:r w:rsidR="000039CC">
        <w:rPr>
          <w:rFonts w:hint="eastAsia"/>
          <w:sz w:val="20"/>
          <w:szCs w:val="20"/>
        </w:rPr>
        <w:t>.</w:t>
      </w:r>
      <w:r w:rsidR="005D7484">
        <w:rPr>
          <w:rFonts w:hint="eastAsia"/>
          <w:sz w:val="20"/>
          <w:szCs w:val="20"/>
        </w:rPr>
        <w:t xml:space="preserve"> </w:t>
      </w:r>
      <w:r w:rsidR="00647BCF">
        <w:rPr>
          <w:sz w:val="20"/>
          <w:szCs w:val="20"/>
        </w:rPr>
        <w:t>Notably</w:t>
      </w:r>
      <w:r w:rsidR="005D7484">
        <w:rPr>
          <w:rFonts w:hint="eastAsia"/>
          <w:sz w:val="20"/>
          <w:szCs w:val="20"/>
        </w:rPr>
        <w:t xml:space="preserve">, t-SNE has </w:t>
      </w:r>
      <w:r w:rsidR="00C02CC0">
        <w:rPr>
          <w:rFonts w:hint="eastAsia"/>
          <w:sz w:val="20"/>
          <w:szCs w:val="20"/>
        </w:rPr>
        <w:t xml:space="preserve">a </w:t>
      </w:r>
      <w:r w:rsidR="00647BCF">
        <w:rPr>
          <w:rFonts w:hint="eastAsia"/>
          <w:sz w:val="20"/>
          <w:szCs w:val="20"/>
        </w:rPr>
        <w:t xml:space="preserve">few significant parameters: </w:t>
      </w:r>
      <w:proofErr w:type="spellStart"/>
      <w:r w:rsidR="00647BCF" w:rsidRPr="00647BCF">
        <w:rPr>
          <w:sz w:val="20"/>
          <w:szCs w:val="20"/>
        </w:rPr>
        <w:t>n_components</w:t>
      </w:r>
      <w:proofErr w:type="spellEnd"/>
      <w:r w:rsidR="00647BCF">
        <w:rPr>
          <w:rFonts w:hint="eastAsia"/>
          <w:sz w:val="20"/>
          <w:szCs w:val="20"/>
        </w:rPr>
        <w:t>, p</w:t>
      </w:r>
      <w:r w:rsidR="00647BCF" w:rsidRPr="00647BCF">
        <w:rPr>
          <w:sz w:val="20"/>
          <w:szCs w:val="20"/>
        </w:rPr>
        <w:t>erplexity</w:t>
      </w:r>
      <w:r w:rsidR="00647BCF">
        <w:rPr>
          <w:rFonts w:hint="eastAsia"/>
          <w:sz w:val="20"/>
          <w:szCs w:val="20"/>
        </w:rPr>
        <w:t xml:space="preserve">, </w:t>
      </w:r>
      <w:proofErr w:type="spellStart"/>
      <w:r w:rsidR="00647BCF" w:rsidRPr="00647BCF">
        <w:rPr>
          <w:sz w:val="20"/>
          <w:szCs w:val="20"/>
        </w:rPr>
        <w:t>init</w:t>
      </w:r>
      <w:proofErr w:type="spellEnd"/>
      <w:r w:rsidR="00647BCF">
        <w:rPr>
          <w:rFonts w:hint="eastAsia"/>
          <w:sz w:val="20"/>
          <w:szCs w:val="20"/>
        </w:rPr>
        <w:t xml:space="preserve">, </w:t>
      </w:r>
      <w:r w:rsidR="00647BCF" w:rsidRPr="00647BCF">
        <w:rPr>
          <w:sz w:val="20"/>
          <w:szCs w:val="20"/>
        </w:rPr>
        <w:t>metric</w:t>
      </w:r>
      <w:r w:rsidR="00647BCF">
        <w:rPr>
          <w:rFonts w:hint="eastAsia"/>
          <w:sz w:val="20"/>
          <w:szCs w:val="20"/>
        </w:rPr>
        <w:t xml:space="preserve">, </w:t>
      </w:r>
      <w:proofErr w:type="spellStart"/>
      <w:r w:rsidR="00647BCF" w:rsidRPr="00647BCF">
        <w:rPr>
          <w:sz w:val="20"/>
          <w:szCs w:val="20"/>
        </w:rPr>
        <w:t>learning_rate</w:t>
      </w:r>
      <w:proofErr w:type="spellEnd"/>
      <w:r w:rsidR="00647BCF">
        <w:rPr>
          <w:rFonts w:hint="eastAsia"/>
          <w:sz w:val="20"/>
          <w:szCs w:val="20"/>
        </w:rPr>
        <w:t xml:space="preserve">. </w:t>
      </w:r>
      <w:r w:rsidR="002A48EA">
        <w:rPr>
          <w:rFonts w:hint="eastAsia"/>
          <w:sz w:val="20"/>
          <w:szCs w:val="20"/>
        </w:rPr>
        <w:t xml:space="preserve">Particularly, </w:t>
      </w:r>
      <w:r w:rsidR="00F0153D">
        <w:rPr>
          <w:rFonts w:hint="eastAsia"/>
          <w:sz w:val="20"/>
          <w:szCs w:val="20"/>
        </w:rPr>
        <w:t xml:space="preserve">the </w:t>
      </w:r>
      <w:proofErr w:type="spellStart"/>
      <w:r w:rsidR="002A48EA">
        <w:rPr>
          <w:rFonts w:hint="eastAsia"/>
          <w:sz w:val="20"/>
          <w:szCs w:val="20"/>
        </w:rPr>
        <w:t>init</w:t>
      </w:r>
      <w:proofErr w:type="spellEnd"/>
      <w:r w:rsidR="002A48EA">
        <w:rPr>
          <w:rFonts w:hint="eastAsia"/>
          <w:sz w:val="20"/>
          <w:szCs w:val="20"/>
        </w:rPr>
        <w:t xml:space="preserve"> parameter</w:t>
      </w:r>
      <w:r w:rsidR="00F0153D">
        <w:rPr>
          <w:rFonts w:hint="eastAsia"/>
          <w:sz w:val="20"/>
          <w:szCs w:val="20"/>
        </w:rPr>
        <w:t xml:space="preserve"> indicates</w:t>
      </w:r>
      <w:r w:rsidR="00F0153D" w:rsidRPr="00F0153D">
        <w:rPr>
          <w:sz w:val="20"/>
          <w:szCs w:val="20"/>
        </w:rPr>
        <w:t xml:space="preserve"> the starting point of the iterative algorithm</w:t>
      </w:r>
      <w:r w:rsidR="00F0153D">
        <w:rPr>
          <w:rFonts w:hint="eastAsia"/>
          <w:sz w:val="20"/>
          <w:szCs w:val="20"/>
        </w:rPr>
        <w:t xml:space="preserve">. </w:t>
      </w:r>
      <w:r w:rsidR="00F0153D">
        <w:rPr>
          <w:sz w:val="20"/>
          <w:szCs w:val="20"/>
        </w:rPr>
        <w:t>Another</w:t>
      </w:r>
      <w:r w:rsidR="00F0153D">
        <w:rPr>
          <w:rFonts w:hint="eastAsia"/>
          <w:sz w:val="20"/>
          <w:szCs w:val="20"/>
        </w:rPr>
        <w:t xml:space="preserve"> </w:t>
      </w:r>
      <w:r w:rsidR="00F0153D" w:rsidRPr="00D84111">
        <w:rPr>
          <w:sz w:val="20"/>
          <w:szCs w:val="20"/>
        </w:rPr>
        <w:t>technique</w:t>
      </w:r>
      <w:r w:rsidR="00F0153D">
        <w:rPr>
          <w:rFonts w:hint="eastAsia"/>
          <w:sz w:val="20"/>
          <w:szCs w:val="20"/>
        </w:rPr>
        <w:t xml:space="preserve"> </w:t>
      </w:r>
      <w:r w:rsidR="00F0153D" w:rsidRPr="00F0153D">
        <w:rPr>
          <w:sz w:val="20"/>
          <w:szCs w:val="20"/>
        </w:rPr>
        <w:t xml:space="preserve">Multi-dimensional Scaling (MDS) </w:t>
      </w:r>
      <w:r w:rsidR="00894A14">
        <w:rPr>
          <w:rFonts w:hint="eastAsia"/>
          <w:sz w:val="20"/>
          <w:szCs w:val="20"/>
        </w:rPr>
        <w:t xml:space="preserve">is able to ensure </w:t>
      </w:r>
      <w:r w:rsidR="00894A14" w:rsidRPr="00894A14">
        <w:rPr>
          <w:sz w:val="20"/>
          <w:szCs w:val="20"/>
        </w:rPr>
        <w:t xml:space="preserve">the relative distances as similar </w:t>
      </w:r>
      <w:r w:rsidR="00C02CC0">
        <w:rPr>
          <w:rFonts w:hint="eastAsia"/>
          <w:sz w:val="20"/>
          <w:szCs w:val="20"/>
        </w:rPr>
        <w:t xml:space="preserve">are </w:t>
      </w:r>
      <w:r w:rsidR="00894A14" w:rsidRPr="00894A14">
        <w:rPr>
          <w:sz w:val="20"/>
          <w:szCs w:val="20"/>
        </w:rPr>
        <w:t>as possible in the low</w:t>
      </w:r>
      <w:r w:rsidR="00894A14">
        <w:rPr>
          <w:rFonts w:hint="eastAsia"/>
          <w:sz w:val="20"/>
          <w:szCs w:val="20"/>
        </w:rPr>
        <w:t>-</w:t>
      </w:r>
      <w:r w:rsidR="00894A14" w:rsidRPr="00894A14">
        <w:rPr>
          <w:sz w:val="20"/>
          <w:szCs w:val="20"/>
        </w:rPr>
        <w:t>dimensional space to those in the original high</w:t>
      </w:r>
      <w:r w:rsidR="00894A14">
        <w:rPr>
          <w:rFonts w:hint="eastAsia"/>
          <w:sz w:val="20"/>
          <w:szCs w:val="20"/>
        </w:rPr>
        <w:t>-</w:t>
      </w:r>
      <w:r w:rsidR="00894A14" w:rsidRPr="00894A14">
        <w:rPr>
          <w:sz w:val="20"/>
          <w:szCs w:val="20"/>
        </w:rPr>
        <w:t>dimensional space</w:t>
      </w:r>
      <w:r w:rsidR="00894A14">
        <w:rPr>
          <w:rFonts w:hint="eastAsia"/>
          <w:sz w:val="20"/>
          <w:szCs w:val="20"/>
        </w:rPr>
        <w:t xml:space="preserve">. If </w:t>
      </w:r>
      <w:r w:rsidR="00C02CC0">
        <w:rPr>
          <w:rFonts w:hint="eastAsia"/>
          <w:sz w:val="20"/>
          <w:szCs w:val="20"/>
        </w:rPr>
        <w:t xml:space="preserve">the </w:t>
      </w:r>
      <w:proofErr w:type="spellStart"/>
      <w:r w:rsidR="00894A14">
        <w:rPr>
          <w:rFonts w:hint="eastAsia"/>
          <w:sz w:val="20"/>
          <w:szCs w:val="20"/>
        </w:rPr>
        <w:t>init</w:t>
      </w:r>
      <w:proofErr w:type="spellEnd"/>
      <w:r w:rsidR="00894A14">
        <w:rPr>
          <w:rFonts w:hint="eastAsia"/>
          <w:sz w:val="20"/>
          <w:szCs w:val="20"/>
        </w:rPr>
        <w:t xml:space="preserve"> parameter is set to </w:t>
      </w:r>
      <w:r w:rsidR="00894A14">
        <w:rPr>
          <w:sz w:val="20"/>
          <w:szCs w:val="20"/>
        </w:rPr>
        <w:t>an</w:t>
      </w:r>
      <w:r w:rsidR="00894A14">
        <w:rPr>
          <w:rFonts w:hint="eastAsia"/>
          <w:sz w:val="20"/>
          <w:szCs w:val="20"/>
        </w:rPr>
        <w:t xml:space="preserve"> output from MDS, </w:t>
      </w:r>
      <w:r w:rsidR="00894A14" w:rsidRPr="00F0153D">
        <w:rPr>
          <w:sz w:val="20"/>
          <w:szCs w:val="20"/>
        </w:rPr>
        <w:t xml:space="preserve">t-SNE </w:t>
      </w:r>
      <w:r w:rsidR="00894A14">
        <w:rPr>
          <w:rFonts w:hint="eastAsia"/>
          <w:sz w:val="20"/>
          <w:szCs w:val="20"/>
        </w:rPr>
        <w:t xml:space="preserve">can </w:t>
      </w:r>
      <w:r w:rsidR="00894A14" w:rsidRPr="00F0153D">
        <w:rPr>
          <w:sz w:val="20"/>
          <w:szCs w:val="20"/>
        </w:rPr>
        <w:t>converge more rapidly</w:t>
      </w:r>
      <w:r w:rsidR="00894A14">
        <w:rPr>
          <w:rFonts w:hint="eastAsia"/>
          <w:sz w:val="20"/>
          <w:szCs w:val="20"/>
        </w:rPr>
        <w:t xml:space="preserve"> and </w:t>
      </w:r>
      <w:r w:rsidR="00C02CC0">
        <w:rPr>
          <w:rFonts w:hint="eastAsia"/>
          <w:sz w:val="20"/>
          <w:szCs w:val="20"/>
        </w:rPr>
        <w:t>cluster</w:t>
      </w:r>
      <w:r w:rsidR="00894A14">
        <w:rPr>
          <w:rFonts w:hint="eastAsia"/>
          <w:sz w:val="20"/>
          <w:szCs w:val="20"/>
        </w:rPr>
        <w:t xml:space="preserve"> better.</w:t>
      </w:r>
    </w:p>
    <w:p w14:paraId="7EAD6D63" w14:textId="4E6F8B60" w:rsidR="00F0153D" w:rsidRPr="00894A14" w:rsidRDefault="00F0153D" w:rsidP="00681F4A">
      <w:pPr>
        <w:rPr>
          <w:sz w:val="20"/>
          <w:szCs w:val="20"/>
        </w:rPr>
      </w:pPr>
    </w:p>
    <w:p w14:paraId="6A52DEAB" w14:textId="0061C5DD" w:rsidR="00681F4A" w:rsidRDefault="00681F4A" w:rsidP="00681F4A">
      <w:pPr>
        <w:rPr>
          <w:sz w:val="20"/>
          <w:szCs w:val="20"/>
        </w:rPr>
      </w:pPr>
    </w:p>
    <w:p w14:paraId="3FD5CEF4" w14:textId="77777777" w:rsidR="0043170A" w:rsidRDefault="0043170A" w:rsidP="00681F4A">
      <w:pPr>
        <w:rPr>
          <w:sz w:val="20"/>
          <w:szCs w:val="20"/>
        </w:rPr>
      </w:pPr>
    </w:p>
    <w:p w14:paraId="03A1001F" w14:textId="77777777" w:rsidR="0043170A" w:rsidRDefault="0043170A" w:rsidP="0043170A">
      <w:pPr>
        <w:pStyle w:val="1"/>
      </w:pPr>
      <w:r>
        <w:lastRenderedPageBreak/>
        <w:t>Results and Discussion</w:t>
      </w:r>
    </w:p>
    <w:p w14:paraId="528E6A45" w14:textId="77777777" w:rsidR="0043170A" w:rsidRPr="001E3469" w:rsidRDefault="0043170A" w:rsidP="0043170A">
      <w:pPr>
        <w:ind w:firstLine="284"/>
        <w:rPr>
          <w:color w:val="4472C4" w:themeColor="accent1"/>
        </w:rPr>
      </w:pPr>
      <w:r w:rsidRPr="001E3469">
        <w:rPr>
          <w:color w:val="4472C4" w:themeColor="accent1"/>
        </w:rPr>
        <w:t>Reporting on the experiments with discussion on insights. Technical challenges are to be discussed here too.</w:t>
      </w:r>
    </w:p>
    <w:p w14:paraId="4910ECAE" w14:textId="484B1E31" w:rsidR="00A33A2B" w:rsidRDefault="00875607" w:rsidP="00681F4A">
      <w:pPr>
        <w:rPr>
          <w:sz w:val="20"/>
          <w:szCs w:val="20"/>
        </w:rPr>
      </w:pPr>
      <w:r>
        <w:rPr>
          <w:rFonts w:hint="eastAsia"/>
          <w:sz w:val="20"/>
          <w:szCs w:val="20"/>
        </w:rPr>
        <w:t>For task 4 results, e</w:t>
      </w:r>
      <w:r w:rsidRPr="00875607">
        <w:rPr>
          <w:sz w:val="20"/>
          <w:szCs w:val="20"/>
        </w:rPr>
        <w:t xml:space="preserve">xclude the </w:t>
      </w:r>
      <w:proofErr w:type="spellStart"/>
      <w:r w:rsidRPr="00875607">
        <w:rPr>
          <w:sz w:val="20"/>
          <w:szCs w:val="20"/>
        </w:rPr>
        <w:t>MacacaMulatta</w:t>
      </w:r>
      <w:proofErr w:type="spellEnd"/>
      <w:r>
        <w:rPr>
          <w:rFonts w:hint="eastAsia"/>
          <w:sz w:val="20"/>
          <w:szCs w:val="20"/>
        </w:rPr>
        <w:t xml:space="preserve"> specie</w:t>
      </w:r>
      <w:r w:rsidRPr="00875607">
        <w:rPr>
          <w:sz w:val="20"/>
          <w:szCs w:val="20"/>
        </w:rPr>
        <w:t xml:space="preserve"> from the dataset</w:t>
      </w:r>
      <w:r>
        <w:rPr>
          <w:rFonts w:hint="eastAsia"/>
          <w:sz w:val="20"/>
          <w:szCs w:val="20"/>
        </w:rPr>
        <w:t xml:space="preserve">, focus on </w:t>
      </w:r>
      <w:proofErr w:type="spellStart"/>
      <w:r w:rsidR="007710C7" w:rsidRPr="007710C7">
        <w:rPr>
          <w:sz w:val="20"/>
          <w:szCs w:val="20"/>
        </w:rPr>
        <w:t>HomoSapiens</w:t>
      </w:r>
      <w:proofErr w:type="spellEnd"/>
      <w:r w:rsidR="007710C7">
        <w:rPr>
          <w:rFonts w:hint="eastAsia"/>
          <w:sz w:val="20"/>
          <w:szCs w:val="20"/>
        </w:rPr>
        <w:t xml:space="preserve"> and </w:t>
      </w:r>
      <w:proofErr w:type="spellStart"/>
      <w:r w:rsidR="007710C7" w:rsidRPr="007710C7">
        <w:rPr>
          <w:sz w:val="20"/>
          <w:szCs w:val="20"/>
        </w:rPr>
        <w:t>MusMusculus</w:t>
      </w:r>
      <w:proofErr w:type="spellEnd"/>
      <w:r w:rsidR="007710C7">
        <w:rPr>
          <w:rFonts w:hint="eastAsia"/>
          <w:sz w:val="20"/>
          <w:szCs w:val="20"/>
        </w:rPr>
        <w:t xml:space="preserve">. </w:t>
      </w:r>
      <w:r w:rsidR="006D5BEC">
        <w:rPr>
          <w:rFonts w:hint="eastAsia"/>
          <w:sz w:val="20"/>
          <w:szCs w:val="20"/>
        </w:rPr>
        <w:t>In order to</w:t>
      </w:r>
      <w:r w:rsidR="00B65171" w:rsidRPr="00B65171">
        <w:rPr>
          <w:sz w:val="20"/>
          <w:szCs w:val="20"/>
        </w:rPr>
        <w:t xml:space="preserve"> </w:t>
      </w:r>
      <w:r w:rsidR="00B65171">
        <w:rPr>
          <w:rFonts w:hint="eastAsia"/>
          <w:sz w:val="20"/>
          <w:szCs w:val="20"/>
        </w:rPr>
        <w:t>study</w:t>
      </w:r>
      <w:r w:rsidR="00B65171" w:rsidRPr="00B65171">
        <w:rPr>
          <w:sz w:val="20"/>
          <w:szCs w:val="20"/>
        </w:rPr>
        <w:t xml:space="preserve"> and analyze the specificity relationship between TCR sequences and antigenic epitopes</w:t>
      </w:r>
      <w:r w:rsidR="006D5BEC">
        <w:rPr>
          <w:rFonts w:hint="eastAsia"/>
          <w:sz w:val="20"/>
          <w:szCs w:val="20"/>
        </w:rPr>
        <w:t xml:space="preserve">. </w:t>
      </w:r>
      <w:r w:rsidR="008C78E7">
        <w:rPr>
          <w:rFonts w:hint="eastAsia"/>
          <w:sz w:val="20"/>
          <w:szCs w:val="20"/>
        </w:rPr>
        <w:t>The c</w:t>
      </w:r>
      <w:r w:rsidR="00A33A2B">
        <w:rPr>
          <w:rFonts w:hint="eastAsia"/>
          <w:sz w:val="20"/>
          <w:szCs w:val="20"/>
        </w:rPr>
        <w:t xml:space="preserve">lustering plot </w:t>
      </w:r>
      <w:r w:rsidR="008C78E7">
        <w:rPr>
          <w:rFonts w:hint="eastAsia"/>
          <w:sz w:val="20"/>
          <w:szCs w:val="20"/>
        </w:rPr>
        <w:t>is a</w:t>
      </w:r>
      <w:r w:rsidR="00A33A2B">
        <w:rPr>
          <w:rFonts w:hint="eastAsia"/>
          <w:sz w:val="20"/>
          <w:szCs w:val="20"/>
        </w:rPr>
        <w:t xml:space="preserve"> significant evaluation of the specificity. </w:t>
      </w:r>
    </w:p>
    <w:p w14:paraId="738CA97A" w14:textId="764EA607" w:rsidR="008C78E7" w:rsidRDefault="00104A1B" w:rsidP="00681F4A">
      <w:pPr>
        <w:rPr>
          <w:rFonts w:hint="eastAsia"/>
          <w:sz w:val="20"/>
          <w:szCs w:val="20"/>
        </w:rPr>
      </w:pPr>
      <w:r>
        <w:rPr>
          <w:noProof/>
        </w:rPr>
        <w:drawing>
          <wp:anchor distT="0" distB="0" distL="114300" distR="114300" simplePos="0" relativeHeight="251659264" behindDoc="1" locked="0" layoutInCell="1" allowOverlap="1" wp14:anchorId="3992797E" wp14:editId="0443C906">
            <wp:simplePos x="0" y="0"/>
            <wp:positionH relativeFrom="margin">
              <wp:align>right</wp:align>
            </wp:positionH>
            <wp:positionV relativeFrom="paragraph">
              <wp:posOffset>605357</wp:posOffset>
            </wp:positionV>
            <wp:extent cx="5056505" cy="3427095"/>
            <wp:effectExtent l="0" t="0" r="0" b="1905"/>
            <wp:wrapTight wrapText="bothSides">
              <wp:wrapPolygon edited="0">
                <wp:start x="0" y="0"/>
                <wp:lineTo x="0" y="21492"/>
                <wp:lineTo x="21483" y="21492"/>
                <wp:lineTo x="21483" y="0"/>
                <wp:lineTo x="0" y="0"/>
              </wp:wrapPolygon>
            </wp:wrapTight>
            <wp:docPr id="1569892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2689" name=""/>
                    <pic:cNvPicPr/>
                  </pic:nvPicPr>
                  <pic:blipFill rotWithShape="1">
                    <a:blip r:embed="rId12">
                      <a:extLst>
                        <a:ext uri="{28A0092B-C50C-407E-A947-70E740481C1C}">
                          <a14:useLocalDpi xmlns:a14="http://schemas.microsoft.com/office/drawing/2010/main" val="0"/>
                        </a:ext>
                      </a:extLst>
                    </a:blip>
                    <a:srcRect t="1999"/>
                    <a:stretch/>
                  </pic:blipFill>
                  <pic:spPr bwMode="auto">
                    <a:xfrm>
                      <a:off x="0" y="0"/>
                      <a:ext cx="5056505" cy="3427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5BEC">
        <w:rPr>
          <w:rFonts w:hint="eastAsia"/>
          <w:sz w:val="20"/>
          <w:szCs w:val="20"/>
        </w:rPr>
        <w:t xml:space="preserve">Simply apply t-SNE technique to reduce the dimensional of </w:t>
      </w:r>
      <w:r w:rsidR="00A33A2B">
        <w:rPr>
          <w:rFonts w:hint="eastAsia"/>
          <w:sz w:val="20"/>
          <w:szCs w:val="20"/>
        </w:rPr>
        <w:t xml:space="preserve">alpha, beta, and combined chains of human and mouse to two </w:t>
      </w:r>
      <w:r w:rsidR="00A33A2B">
        <w:rPr>
          <w:sz w:val="20"/>
          <w:szCs w:val="20"/>
        </w:rPr>
        <w:t>dimensions</w:t>
      </w:r>
      <w:r w:rsidR="00A33A2B">
        <w:rPr>
          <w:rFonts w:hint="eastAsia"/>
          <w:sz w:val="20"/>
          <w:szCs w:val="20"/>
        </w:rPr>
        <w:t xml:space="preserve"> respectively. </w:t>
      </w:r>
      <w:r w:rsidR="00CB3C4A">
        <w:rPr>
          <w:rFonts w:hint="eastAsia"/>
          <w:sz w:val="20"/>
          <w:szCs w:val="20"/>
        </w:rPr>
        <w:t>Specifically, cl</w:t>
      </w:r>
      <w:r w:rsidR="00A33A2B">
        <w:rPr>
          <w:rFonts w:hint="eastAsia"/>
          <w:sz w:val="20"/>
          <w:szCs w:val="20"/>
        </w:rPr>
        <w:t>ustering plot</w:t>
      </w:r>
      <w:r w:rsidR="00CB3C4A">
        <w:rPr>
          <w:rFonts w:hint="eastAsia"/>
          <w:sz w:val="20"/>
          <w:szCs w:val="20"/>
        </w:rPr>
        <w:t xml:space="preserve">s for human are shown below. </w:t>
      </w:r>
    </w:p>
    <w:p w14:paraId="6F03476B" w14:textId="77777777" w:rsidR="008C78E7" w:rsidRPr="008C78E7" w:rsidRDefault="008C78E7" w:rsidP="008C78E7">
      <w:pPr>
        <w:rPr>
          <w:sz w:val="20"/>
          <w:szCs w:val="20"/>
        </w:rPr>
      </w:pPr>
      <w:r w:rsidRPr="008C78E7">
        <w:rPr>
          <w:sz w:val="20"/>
          <w:szCs w:val="20"/>
        </w:rPr>
        <w:t xml:space="preserve">For better capturing valuable information from the clustering plot, the analysis focuses on the data with the top 10 number of antigenic epitopes. </w:t>
      </w:r>
    </w:p>
    <w:p w14:paraId="6BD7D8F1" w14:textId="77777777" w:rsidR="008C78E7" w:rsidRPr="008C78E7" w:rsidRDefault="008C78E7" w:rsidP="008C78E7">
      <w:pPr>
        <w:rPr>
          <w:sz w:val="20"/>
          <w:szCs w:val="20"/>
        </w:rPr>
      </w:pPr>
      <w:r w:rsidRPr="008C78E7">
        <w:rPr>
          <w:sz w:val="20"/>
          <w:szCs w:val="20"/>
        </w:rPr>
        <w:t xml:space="preserve">In the 2-dimensional plot of human alpha chain TCR based on antigen epitope specificity, a diverse clustering pattern can be observed apparently. Each clear color represents an antigen epitope respectively, and each point represents a TCR from a high-dimensional project into 2-dimensional space. Such as the orange color cluster represents a specific antigen epitope: GILGFVFTL. Overall, </w:t>
      </w:r>
    </w:p>
    <w:p w14:paraId="687ED1BE" w14:textId="151F7506" w:rsidR="008C78E7" w:rsidRDefault="008C78E7" w:rsidP="008C78E7">
      <w:pPr>
        <w:rPr>
          <w:sz w:val="20"/>
          <w:szCs w:val="20"/>
        </w:rPr>
      </w:pPr>
      <w:r w:rsidRPr="008C78E7">
        <w:rPr>
          <w:sz w:val="20"/>
          <w:szCs w:val="20"/>
        </w:rPr>
        <w:t xml:space="preserve">the clustering of certain epitopes is more concentrated and forms large clusters such as green, yellow, orange, and blue clusters. That indicates the TCR sequences corresponding to those epitopes have higher </w:t>
      </w:r>
      <w:r w:rsidRPr="008C78E7">
        <w:rPr>
          <w:sz w:val="20"/>
          <w:szCs w:val="20"/>
        </w:rPr>
        <w:t>similarities</w:t>
      </w:r>
      <w:r w:rsidRPr="008C78E7">
        <w:rPr>
          <w:sz w:val="20"/>
          <w:szCs w:val="20"/>
        </w:rPr>
        <w:t>. On the contrary, some epitope clusters are more dispersed and structurally forming many smaller clusters. Such as the brown epitope. In particular, the pink epitopes (NLVPMVATV) are very scattered and only form a few small clusters.</w:t>
      </w:r>
    </w:p>
    <w:p w14:paraId="586C87E9" w14:textId="77777777" w:rsidR="008C78E7" w:rsidRDefault="008C78E7" w:rsidP="00681F4A">
      <w:pPr>
        <w:rPr>
          <w:rFonts w:hint="eastAsia"/>
          <w:sz w:val="20"/>
          <w:szCs w:val="20"/>
        </w:rPr>
      </w:pPr>
    </w:p>
    <w:p w14:paraId="33646025" w14:textId="11AD1570" w:rsidR="008C78E7" w:rsidRPr="008C78E7" w:rsidRDefault="00A660DB" w:rsidP="00681F4A">
      <w:pPr>
        <w:pStyle w:val="2"/>
        <w:numPr>
          <w:ilvl w:val="0"/>
          <w:numId w:val="3"/>
        </w:numPr>
      </w:pPr>
      <w:r w:rsidRPr="00A660DB">
        <w:rPr>
          <w:rFonts w:hint="eastAsia"/>
        </w:rPr>
        <w:t>Specificity</w:t>
      </w:r>
    </w:p>
    <w:p w14:paraId="0C1525AD" w14:textId="56DCD8FA" w:rsidR="008C78E7" w:rsidRDefault="008C78E7" w:rsidP="00681F4A">
      <w:pPr>
        <w:rPr>
          <w:sz w:val="20"/>
          <w:szCs w:val="20"/>
        </w:rPr>
      </w:pPr>
      <w:r w:rsidRPr="008C78E7">
        <w:rPr>
          <w:sz w:val="20"/>
          <w:szCs w:val="20"/>
        </w:rPr>
        <w:t xml:space="preserve">The phenomenon of cluster formation illustrates that similarity exists in TCR sequences corresponding to the same antigenic epitope. This is critical for TCR disease prediction, tracking, and treatment. Notably, same color antigen epitopes form few scattered clusters which reflect that different TCR sequences can recognize the same antigenic epitope in some circumstances. there </w:t>
      </w:r>
      <w:r w:rsidRPr="008C78E7">
        <w:rPr>
          <w:sz w:val="20"/>
          <w:szCs w:val="20"/>
        </w:rPr>
        <w:lastRenderedPageBreak/>
        <w:t>is a large variety of TCRs in human due to the recombination of VDJ gene segments. Moreover, different individuals have a unique set of TCR specificity responses (</w:t>
      </w:r>
      <w:r w:rsidRPr="008C78E7">
        <w:rPr>
          <w:color w:val="4472C4" w:themeColor="accent1"/>
          <w:sz w:val="20"/>
          <w:szCs w:val="20"/>
        </w:rPr>
        <w:t>T cell receptor sequence clustering and antigen specificity</w:t>
      </w:r>
      <w:r w:rsidRPr="008C78E7">
        <w:rPr>
          <w:sz w:val="20"/>
          <w:szCs w:val="20"/>
        </w:rPr>
        <w:t>). To ensure that each individual is able to recognizes specific antigen epitope in the immune system, many TCRs can recognize the same epitope. Generally, it reflects the specificity recognition of TCRs.</w:t>
      </w:r>
    </w:p>
    <w:p w14:paraId="6609350D" w14:textId="77777777" w:rsidR="008C78E7" w:rsidRDefault="008C78E7" w:rsidP="00681F4A">
      <w:pPr>
        <w:rPr>
          <w:rFonts w:hint="eastAsia"/>
          <w:sz w:val="20"/>
          <w:szCs w:val="20"/>
        </w:rPr>
      </w:pPr>
    </w:p>
    <w:p w14:paraId="40F62AB7" w14:textId="2C755D15" w:rsidR="00A660DB" w:rsidRPr="00A660DB" w:rsidRDefault="00A660DB" w:rsidP="00A660DB">
      <w:pPr>
        <w:pStyle w:val="2"/>
        <w:numPr>
          <w:ilvl w:val="0"/>
          <w:numId w:val="3"/>
        </w:numPr>
        <w:rPr>
          <w:rFonts w:hint="eastAsia"/>
        </w:rPr>
      </w:pPr>
      <w:r>
        <w:rPr>
          <w:rFonts w:hint="eastAsia"/>
        </w:rPr>
        <w:t>C</w:t>
      </w:r>
      <w:r w:rsidRPr="00A660DB">
        <w:t>ross-reactivit</w:t>
      </w:r>
      <w:r w:rsidRPr="00A660DB">
        <w:rPr>
          <w:rFonts w:hint="eastAsia"/>
        </w:rPr>
        <w:t>y</w:t>
      </w:r>
    </w:p>
    <w:p w14:paraId="4A55AC7F" w14:textId="5D4FD45D" w:rsidR="00E507C5" w:rsidRDefault="00AD44A1" w:rsidP="00681F4A">
      <w:pPr>
        <w:rPr>
          <w:rFonts w:hint="eastAsia"/>
          <w:sz w:val="20"/>
          <w:szCs w:val="20"/>
        </w:rPr>
      </w:pPr>
      <w:r>
        <w:rPr>
          <w:noProof/>
        </w:rPr>
        <w:drawing>
          <wp:anchor distT="0" distB="0" distL="114300" distR="114300" simplePos="0" relativeHeight="251660288" behindDoc="1" locked="0" layoutInCell="1" allowOverlap="1" wp14:anchorId="6F056945" wp14:editId="70F207D1">
            <wp:simplePos x="0" y="0"/>
            <wp:positionH relativeFrom="column">
              <wp:posOffset>2717165</wp:posOffset>
            </wp:positionH>
            <wp:positionV relativeFrom="paragraph">
              <wp:posOffset>2305050</wp:posOffset>
            </wp:positionV>
            <wp:extent cx="3232150" cy="2184400"/>
            <wp:effectExtent l="0" t="0" r="6350" b="6350"/>
            <wp:wrapTight wrapText="bothSides">
              <wp:wrapPolygon edited="0">
                <wp:start x="0" y="0"/>
                <wp:lineTo x="0" y="21474"/>
                <wp:lineTo x="21515" y="21474"/>
                <wp:lineTo x="21515" y="0"/>
                <wp:lineTo x="0" y="0"/>
              </wp:wrapPolygon>
            </wp:wrapTight>
            <wp:docPr id="1349441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4137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2150" cy="2184400"/>
                    </a:xfrm>
                    <a:prstGeom prst="rect">
                      <a:avLst/>
                    </a:prstGeom>
                  </pic:spPr>
                </pic:pic>
              </a:graphicData>
            </a:graphic>
            <wp14:sizeRelH relativeFrom="margin">
              <wp14:pctWidth>0</wp14:pctWidth>
            </wp14:sizeRelH>
            <wp14:sizeRelV relativeFrom="margin">
              <wp14:pctHeight>0</wp14:pctHeight>
            </wp14:sizeRelV>
          </wp:anchor>
        </w:drawing>
      </w:r>
      <w:r w:rsidR="00B93FD2">
        <w:rPr>
          <w:rFonts w:hint="eastAsia"/>
          <w:sz w:val="20"/>
          <w:szCs w:val="20"/>
        </w:rPr>
        <w:t xml:space="preserve">On the other hand, </w:t>
      </w:r>
      <w:r w:rsidR="00BF3D9F">
        <w:rPr>
          <w:rFonts w:hint="eastAsia"/>
          <w:sz w:val="20"/>
          <w:szCs w:val="20"/>
        </w:rPr>
        <w:t>i</w:t>
      </w:r>
      <w:r w:rsidR="00BF3D9F" w:rsidRPr="00BF3D9F">
        <w:rPr>
          <w:sz w:val="20"/>
          <w:szCs w:val="20"/>
        </w:rPr>
        <w:t xml:space="preserve">t was observed that </w:t>
      </w:r>
      <w:r w:rsidR="00AB1524" w:rsidRPr="00AB1524">
        <w:rPr>
          <w:sz w:val="20"/>
          <w:szCs w:val="20"/>
        </w:rPr>
        <w:t>different color</w:t>
      </w:r>
      <w:r w:rsidR="00AB1524" w:rsidRPr="00AB1524">
        <w:rPr>
          <w:rFonts w:hint="eastAsia"/>
          <w:sz w:val="20"/>
          <w:szCs w:val="20"/>
        </w:rPr>
        <w:t xml:space="preserve"> </w:t>
      </w:r>
      <w:r w:rsidR="00AB1524">
        <w:rPr>
          <w:rFonts w:hint="eastAsia"/>
          <w:sz w:val="20"/>
          <w:szCs w:val="20"/>
        </w:rPr>
        <w:t>c</w:t>
      </w:r>
      <w:r w:rsidR="00AB1524" w:rsidRPr="00AB1524">
        <w:rPr>
          <w:sz w:val="20"/>
          <w:szCs w:val="20"/>
        </w:rPr>
        <w:t>lusters</w:t>
      </w:r>
      <w:r w:rsidR="00AB1524">
        <w:rPr>
          <w:rFonts w:hint="eastAsia"/>
          <w:sz w:val="20"/>
          <w:szCs w:val="20"/>
        </w:rPr>
        <w:t xml:space="preserve"> represent</w:t>
      </w:r>
      <w:r w:rsidR="00AB1524" w:rsidRPr="00AB1524">
        <w:rPr>
          <w:sz w:val="20"/>
          <w:szCs w:val="20"/>
        </w:rPr>
        <w:t xml:space="preserve"> TCR clusters corresponding to different antigen epitopes, are close to each other or even overlap.</w:t>
      </w:r>
      <w:r w:rsidR="00BF3D9F">
        <w:rPr>
          <w:rFonts w:hint="eastAsia"/>
          <w:sz w:val="20"/>
          <w:szCs w:val="20"/>
        </w:rPr>
        <w:t xml:space="preserve"> For instance, clusters at (90, 0) and (-45, -1</w:t>
      </w:r>
      <w:r w:rsidR="009213A0">
        <w:rPr>
          <w:rFonts w:hint="eastAsia"/>
          <w:sz w:val="20"/>
          <w:szCs w:val="20"/>
        </w:rPr>
        <w:t>0</w:t>
      </w:r>
      <w:r w:rsidR="00BF3D9F">
        <w:rPr>
          <w:rFonts w:hint="eastAsia"/>
          <w:sz w:val="20"/>
          <w:szCs w:val="20"/>
        </w:rPr>
        <w:t>)</w:t>
      </w:r>
      <w:r w:rsidR="009213A0">
        <w:rPr>
          <w:rFonts w:hint="eastAsia"/>
          <w:sz w:val="20"/>
          <w:szCs w:val="20"/>
        </w:rPr>
        <w:t>.</w:t>
      </w:r>
      <w:r w:rsidR="003A23A5">
        <w:rPr>
          <w:rFonts w:hint="eastAsia"/>
          <w:sz w:val="20"/>
          <w:szCs w:val="20"/>
        </w:rPr>
        <w:t xml:space="preserve"> </w:t>
      </w:r>
      <w:r w:rsidR="003A23A5" w:rsidRPr="003A23A5">
        <w:rPr>
          <w:sz w:val="20"/>
          <w:szCs w:val="20"/>
        </w:rPr>
        <w:t xml:space="preserve">It is possible that this phenomenon </w:t>
      </w:r>
      <w:r w:rsidR="003A23A5">
        <w:rPr>
          <w:rFonts w:hint="eastAsia"/>
          <w:sz w:val="20"/>
          <w:szCs w:val="20"/>
        </w:rPr>
        <w:t>shows</w:t>
      </w:r>
      <w:r w:rsidR="003A23A5" w:rsidRPr="003A23A5">
        <w:rPr>
          <w:sz w:val="20"/>
          <w:szCs w:val="20"/>
        </w:rPr>
        <w:t xml:space="preserve"> a TCR </w:t>
      </w:r>
      <w:r w:rsidR="003A23A5">
        <w:rPr>
          <w:sz w:val="20"/>
          <w:szCs w:val="20"/>
        </w:rPr>
        <w:t>property</w:t>
      </w:r>
      <w:r w:rsidR="003A23A5">
        <w:rPr>
          <w:rFonts w:hint="eastAsia"/>
          <w:sz w:val="20"/>
          <w:szCs w:val="20"/>
        </w:rPr>
        <w:t xml:space="preserve"> called </w:t>
      </w:r>
      <w:r w:rsidR="00E507C5" w:rsidRPr="00E507C5">
        <w:rPr>
          <w:sz w:val="20"/>
          <w:szCs w:val="20"/>
        </w:rPr>
        <w:t>cross-reactivit</w:t>
      </w:r>
      <w:r w:rsidR="00E507C5" w:rsidRPr="00E507C5">
        <w:rPr>
          <w:rFonts w:hint="eastAsia"/>
          <w:sz w:val="20"/>
          <w:szCs w:val="20"/>
        </w:rPr>
        <w:t>y</w:t>
      </w:r>
      <w:r w:rsidR="00E507C5">
        <w:rPr>
          <w:rFonts w:hint="eastAsia"/>
          <w:sz w:val="20"/>
          <w:szCs w:val="20"/>
        </w:rPr>
        <w:t>.</w:t>
      </w:r>
      <w:r w:rsidR="003A23A5" w:rsidRPr="003A23A5">
        <w:rPr>
          <w:sz w:val="20"/>
          <w:szCs w:val="20"/>
        </w:rPr>
        <w:t xml:space="preserve"> </w:t>
      </w:r>
      <w:r w:rsidR="00E507C5">
        <w:rPr>
          <w:rFonts w:hint="eastAsia"/>
          <w:sz w:val="20"/>
          <w:szCs w:val="20"/>
        </w:rPr>
        <w:t xml:space="preserve">Human has limited number of t cells in the body. So limited TCR has to respond specificity to a huge number of antigen epitopes. </w:t>
      </w:r>
      <w:r w:rsidR="00E507C5" w:rsidRPr="00E507C5">
        <w:rPr>
          <w:sz w:val="20"/>
          <w:szCs w:val="20"/>
        </w:rPr>
        <w:t>A</w:t>
      </w:r>
      <w:r w:rsidR="00E507C5">
        <w:rPr>
          <w:rFonts w:hint="eastAsia"/>
          <w:sz w:val="20"/>
          <w:szCs w:val="20"/>
        </w:rPr>
        <w:t>s an</w:t>
      </w:r>
      <w:r w:rsidR="00E507C5" w:rsidRPr="00E507C5">
        <w:rPr>
          <w:sz w:val="20"/>
          <w:szCs w:val="20"/>
        </w:rPr>
        <w:t xml:space="preserve"> important consequence</w:t>
      </w:r>
      <w:r w:rsidR="00E507C5">
        <w:rPr>
          <w:rFonts w:hint="eastAsia"/>
          <w:sz w:val="20"/>
          <w:szCs w:val="20"/>
        </w:rPr>
        <w:t xml:space="preserve"> is that unique TCR may be able to recognize more than one antigen epitope. </w:t>
      </w:r>
      <w:r w:rsidR="00A660DB">
        <w:rPr>
          <w:rFonts w:hint="eastAsia"/>
          <w:sz w:val="20"/>
          <w:szCs w:val="20"/>
        </w:rPr>
        <w:t xml:space="preserve">Nevertheless, </w:t>
      </w:r>
      <w:r w:rsidR="00D61DEB">
        <w:rPr>
          <w:rFonts w:hint="eastAsia"/>
          <w:sz w:val="20"/>
          <w:szCs w:val="20"/>
        </w:rPr>
        <w:t>t-SNE technique focus</w:t>
      </w:r>
      <w:r w:rsidR="00980D73">
        <w:rPr>
          <w:rFonts w:hint="eastAsia"/>
          <w:sz w:val="20"/>
          <w:szCs w:val="20"/>
        </w:rPr>
        <w:t>es</w:t>
      </w:r>
      <w:r w:rsidR="00D61DEB">
        <w:rPr>
          <w:rFonts w:hint="eastAsia"/>
          <w:sz w:val="20"/>
          <w:szCs w:val="20"/>
        </w:rPr>
        <w:t xml:space="preserve"> </w:t>
      </w:r>
      <w:r w:rsidR="00980D73">
        <w:rPr>
          <w:rFonts w:hint="eastAsia"/>
          <w:sz w:val="20"/>
          <w:szCs w:val="20"/>
        </w:rPr>
        <w:t xml:space="preserve">more on preserving local rather than global data structure. </w:t>
      </w:r>
      <w:r w:rsidR="00825EFF">
        <w:rPr>
          <w:rFonts w:hint="eastAsia"/>
          <w:sz w:val="20"/>
          <w:szCs w:val="20"/>
        </w:rPr>
        <w:t>When the t-SNE projects high-dimensional TCR features into a low</w:t>
      </w:r>
      <w:r w:rsidR="008C78E7">
        <w:rPr>
          <w:rFonts w:hint="eastAsia"/>
          <w:sz w:val="20"/>
          <w:szCs w:val="20"/>
        </w:rPr>
        <w:t>-</w:t>
      </w:r>
      <w:r w:rsidR="00825EFF">
        <w:rPr>
          <w:rFonts w:hint="eastAsia"/>
          <w:sz w:val="20"/>
          <w:szCs w:val="20"/>
        </w:rPr>
        <w:t xml:space="preserve">dimensional 2D plot, it is possible that TCR with distant </w:t>
      </w:r>
      <w:r w:rsidR="00825EFF">
        <w:rPr>
          <w:sz w:val="20"/>
          <w:szCs w:val="20"/>
        </w:rPr>
        <w:t>spatial</w:t>
      </w:r>
      <w:r w:rsidR="00825EFF">
        <w:rPr>
          <w:rFonts w:hint="eastAsia"/>
          <w:sz w:val="20"/>
          <w:szCs w:val="20"/>
        </w:rPr>
        <w:t xml:space="preserve"> distance will be projected together. Therefore, they appear to be close or map to each other in 2D image. That is to say,</w:t>
      </w:r>
      <w:r w:rsidR="0016567A">
        <w:rPr>
          <w:rFonts w:hint="eastAsia"/>
          <w:sz w:val="20"/>
          <w:szCs w:val="20"/>
        </w:rPr>
        <w:t xml:space="preserve"> it does not accurately reflect the cross-reactivity of TCRs. More </w:t>
      </w:r>
      <w:r w:rsidR="0016567A">
        <w:rPr>
          <w:sz w:val="20"/>
          <w:szCs w:val="20"/>
        </w:rPr>
        <w:t>biological</w:t>
      </w:r>
      <w:r w:rsidR="0016567A">
        <w:rPr>
          <w:rFonts w:hint="eastAsia"/>
          <w:sz w:val="20"/>
          <w:szCs w:val="20"/>
        </w:rPr>
        <w:t xml:space="preserve"> </w:t>
      </w:r>
      <w:r w:rsidR="0016567A">
        <w:rPr>
          <w:sz w:val="20"/>
          <w:szCs w:val="20"/>
        </w:rPr>
        <w:t>experiments</w:t>
      </w:r>
      <w:r w:rsidR="0016567A">
        <w:rPr>
          <w:rFonts w:hint="eastAsia"/>
          <w:sz w:val="20"/>
          <w:szCs w:val="20"/>
        </w:rPr>
        <w:t xml:space="preserve"> are needed to verify the </w:t>
      </w:r>
      <w:r w:rsidR="0016567A">
        <w:rPr>
          <w:sz w:val="20"/>
          <w:szCs w:val="20"/>
        </w:rPr>
        <w:t>phenomenon</w:t>
      </w:r>
      <w:r w:rsidR="0016567A">
        <w:rPr>
          <w:rFonts w:hint="eastAsia"/>
          <w:sz w:val="20"/>
          <w:szCs w:val="20"/>
        </w:rPr>
        <w:t xml:space="preserve">.  </w:t>
      </w:r>
    </w:p>
    <w:p w14:paraId="254A1084" w14:textId="17B665B3" w:rsidR="00E507C5" w:rsidRDefault="00E17177" w:rsidP="00681F4A">
      <w:pPr>
        <w:rPr>
          <w:sz w:val="20"/>
          <w:szCs w:val="20"/>
        </w:rPr>
      </w:pPr>
      <w:r w:rsidRPr="00E17177">
        <w:rPr>
          <w:sz w:val="20"/>
          <w:szCs w:val="20"/>
        </w:rPr>
        <w:t>Furthermore, in the 2D plot of TCRs of the human beta chain, most of the clusters are closer to each other compared to alpha chains’ cluster distribution e.g. cluster at (70, -35). That potentially indicates a higher cross-reactivity of beta chain TCR. At the same time, it may also indicate that alpha chain TCRs are more specific in recognizing different epitopes. Additionally, alpha and beta chains reflect different clustering patterns for the same antigen epitope. In the 2D plot of TCRs of human combined chain, points of the same epitope are more scattered in a unique cluster which potentially reflecting TCR sequence or structure of the combined chain can be more complex than single alpha or beta chains. TCRs have a more integrative property for antigen recognition. Certainly, normally alpha and beta chains are combined inside human body and TCRs will have more comprehensive features of the antigen epitope specificity recognition.</w:t>
      </w:r>
      <w:r w:rsidR="00AD44A1">
        <w:rPr>
          <w:noProof/>
        </w:rPr>
        <w:drawing>
          <wp:anchor distT="0" distB="0" distL="114300" distR="114300" simplePos="0" relativeHeight="251658240" behindDoc="1" locked="0" layoutInCell="1" allowOverlap="1" wp14:anchorId="16202C43" wp14:editId="314AAA60">
            <wp:simplePos x="0" y="0"/>
            <wp:positionH relativeFrom="margin">
              <wp:posOffset>-431800</wp:posOffset>
            </wp:positionH>
            <wp:positionV relativeFrom="paragraph">
              <wp:posOffset>169545</wp:posOffset>
            </wp:positionV>
            <wp:extent cx="3148965" cy="2133600"/>
            <wp:effectExtent l="0" t="0" r="0" b="0"/>
            <wp:wrapTight wrapText="bothSides">
              <wp:wrapPolygon edited="0">
                <wp:start x="0" y="0"/>
                <wp:lineTo x="0" y="21407"/>
                <wp:lineTo x="21430" y="21407"/>
                <wp:lineTo x="21430" y="0"/>
                <wp:lineTo x="0" y="0"/>
              </wp:wrapPolygon>
            </wp:wrapTight>
            <wp:docPr id="286247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47410" name=""/>
                    <pic:cNvPicPr/>
                  </pic:nvPicPr>
                  <pic:blipFill rotWithShape="1">
                    <a:blip r:embed="rId14" cstate="print">
                      <a:extLst>
                        <a:ext uri="{28A0092B-C50C-407E-A947-70E740481C1C}">
                          <a14:useLocalDpi xmlns:a14="http://schemas.microsoft.com/office/drawing/2010/main" val="0"/>
                        </a:ext>
                      </a:extLst>
                    </a:blip>
                    <a:srcRect l="1156" r="878" b="1822"/>
                    <a:stretch/>
                  </pic:blipFill>
                  <pic:spPr bwMode="auto">
                    <a:xfrm>
                      <a:off x="0" y="0"/>
                      <a:ext cx="314896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5E72F8" w14:textId="77777777" w:rsidR="00C121C8" w:rsidRDefault="00C121C8" w:rsidP="00681F4A">
      <w:pPr>
        <w:rPr>
          <w:sz w:val="20"/>
          <w:szCs w:val="20"/>
        </w:rPr>
      </w:pPr>
    </w:p>
    <w:p w14:paraId="0097481A" w14:textId="77777777" w:rsidR="00C121C8" w:rsidRDefault="00C121C8" w:rsidP="00681F4A">
      <w:pPr>
        <w:rPr>
          <w:sz w:val="20"/>
          <w:szCs w:val="20"/>
        </w:rPr>
      </w:pPr>
    </w:p>
    <w:p w14:paraId="481B33DC" w14:textId="77777777" w:rsidR="00C121C8" w:rsidRDefault="00C121C8" w:rsidP="00681F4A">
      <w:pPr>
        <w:rPr>
          <w:sz w:val="20"/>
          <w:szCs w:val="20"/>
        </w:rPr>
      </w:pPr>
    </w:p>
    <w:p w14:paraId="58CD2268" w14:textId="77777777" w:rsidR="00C121C8" w:rsidRDefault="00C121C8" w:rsidP="00681F4A">
      <w:pPr>
        <w:rPr>
          <w:rFonts w:hint="eastAsia"/>
          <w:sz w:val="20"/>
          <w:szCs w:val="20"/>
        </w:rPr>
      </w:pPr>
    </w:p>
    <w:p w14:paraId="46730287" w14:textId="70171803" w:rsidR="00C121C8" w:rsidRDefault="00C121C8" w:rsidP="00681F4A">
      <w:pPr>
        <w:rPr>
          <w:rFonts w:hint="eastAsia"/>
          <w:sz w:val="20"/>
          <w:szCs w:val="20"/>
        </w:rPr>
      </w:pPr>
      <w:r>
        <w:rPr>
          <w:noProof/>
        </w:rPr>
        <w:lastRenderedPageBreak/>
        <w:drawing>
          <wp:inline distT="0" distB="0" distL="0" distR="0" wp14:anchorId="6BDF1865" wp14:editId="61F6302F">
            <wp:extent cx="3702946" cy="2560320"/>
            <wp:effectExtent l="0" t="0" r="0" b="0"/>
            <wp:docPr id="509595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95555" name=""/>
                    <pic:cNvPicPr/>
                  </pic:nvPicPr>
                  <pic:blipFill>
                    <a:blip r:embed="rId15"/>
                    <a:stretch>
                      <a:fillRect/>
                    </a:stretch>
                  </pic:blipFill>
                  <pic:spPr>
                    <a:xfrm>
                      <a:off x="0" y="0"/>
                      <a:ext cx="3727755" cy="2577473"/>
                    </a:xfrm>
                    <a:prstGeom prst="rect">
                      <a:avLst/>
                    </a:prstGeom>
                  </pic:spPr>
                </pic:pic>
              </a:graphicData>
            </a:graphic>
          </wp:inline>
        </w:drawing>
      </w:r>
    </w:p>
    <w:p w14:paraId="0D3F33F8" w14:textId="2AFFCC51" w:rsidR="00C121C8" w:rsidRDefault="00C121C8" w:rsidP="00681F4A">
      <w:pPr>
        <w:rPr>
          <w:rFonts w:hint="eastAsia"/>
          <w:sz w:val="20"/>
          <w:szCs w:val="20"/>
        </w:rPr>
      </w:pPr>
      <w:r>
        <w:rPr>
          <w:noProof/>
        </w:rPr>
        <w:drawing>
          <wp:inline distT="0" distB="0" distL="0" distR="0" wp14:anchorId="3193417D" wp14:editId="40EF45BA">
            <wp:extent cx="3688118" cy="2520315"/>
            <wp:effectExtent l="0" t="0" r="7620" b="0"/>
            <wp:docPr id="1091275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75467" name=""/>
                    <pic:cNvPicPr/>
                  </pic:nvPicPr>
                  <pic:blipFill>
                    <a:blip r:embed="rId16"/>
                    <a:stretch>
                      <a:fillRect/>
                    </a:stretch>
                  </pic:blipFill>
                  <pic:spPr>
                    <a:xfrm>
                      <a:off x="0" y="0"/>
                      <a:ext cx="3744273" cy="2558689"/>
                    </a:xfrm>
                    <a:prstGeom prst="rect">
                      <a:avLst/>
                    </a:prstGeom>
                  </pic:spPr>
                </pic:pic>
              </a:graphicData>
            </a:graphic>
          </wp:inline>
        </w:drawing>
      </w:r>
    </w:p>
    <w:p w14:paraId="06215121" w14:textId="1BDA7BAD" w:rsidR="00C121C8" w:rsidRPr="00BB4256" w:rsidRDefault="00C121C8" w:rsidP="00681F4A">
      <w:pPr>
        <w:rPr>
          <w:rFonts w:hint="eastAsia"/>
          <w:sz w:val="20"/>
          <w:szCs w:val="20"/>
        </w:rPr>
      </w:pPr>
      <w:r>
        <w:rPr>
          <w:noProof/>
        </w:rPr>
        <w:drawing>
          <wp:inline distT="0" distB="0" distL="0" distR="0" wp14:anchorId="75965011" wp14:editId="08DC365D">
            <wp:extent cx="3673502" cy="2446642"/>
            <wp:effectExtent l="0" t="0" r="3175" b="0"/>
            <wp:docPr id="105234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803" name=""/>
                    <pic:cNvPicPr/>
                  </pic:nvPicPr>
                  <pic:blipFill>
                    <a:blip r:embed="rId17"/>
                    <a:stretch>
                      <a:fillRect/>
                    </a:stretch>
                  </pic:blipFill>
                  <pic:spPr>
                    <a:xfrm>
                      <a:off x="0" y="0"/>
                      <a:ext cx="3708553" cy="2469987"/>
                    </a:xfrm>
                    <a:prstGeom prst="rect">
                      <a:avLst/>
                    </a:prstGeom>
                  </pic:spPr>
                </pic:pic>
              </a:graphicData>
            </a:graphic>
          </wp:inline>
        </w:drawing>
      </w:r>
    </w:p>
    <w:p w14:paraId="1CB777A9" w14:textId="6548F65C" w:rsidR="000A1842" w:rsidRPr="00B631C2" w:rsidRDefault="00EF5A54" w:rsidP="00681F4A">
      <w:pPr>
        <w:rPr>
          <w:rFonts w:hint="eastAsia"/>
          <w:sz w:val="20"/>
          <w:szCs w:val="20"/>
        </w:rPr>
      </w:pPr>
      <w:r>
        <w:rPr>
          <w:rFonts w:hint="eastAsia"/>
          <w:sz w:val="20"/>
          <w:szCs w:val="20"/>
        </w:rPr>
        <w:t xml:space="preserve">The data of mouse species are implemented the same t-SNE </w:t>
      </w:r>
      <w:r w:rsidRPr="00EF5A54">
        <w:rPr>
          <w:sz w:val="20"/>
          <w:szCs w:val="20"/>
        </w:rPr>
        <w:t>dimensionality reduction clustering</w:t>
      </w:r>
      <w:r>
        <w:rPr>
          <w:rFonts w:hint="eastAsia"/>
          <w:sz w:val="20"/>
          <w:szCs w:val="20"/>
        </w:rPr>
        <w:t>.</w:t>
      </w:r>
    </w:p>
    <w:p w14:paraId="3FA6FC27" w14:textId="2D019C08" w:rsidR="00CB3C4A" w:rsidRPr="00EF5A54" w:rsidRDefault="00EF5A54" w:rsidP="00681F4A">
      <w:pPr>
        <w:rPr>
          <w:rFonts w:hint="eastAsia"/>
          <w:sz w:val="20"/>
          <w:szCs w:val="20"/>
        </w:rPr>
      </w:pPr>
      <w:r>
        <w:rPr>
          <w:rFonts w:hint="eastAsia"/>
          <w:sz w:val="20"/>
          <w:szCs w:val="20"/>
        </w:rPr>
        <w:t xml:space="preserve">Although the mouse data is much less than human and its antigen epitopes are totally </w:t>
      </w:r>
      <w:r>
        <w:rPr>
          <w:sz w:val="20"/>
          <w:szCs w:val="20"/>
        </w:rPr>
        <w:t>different</w:t>
      </w:r>
      <w:r>
        <w:rPr>
          <w:rFonts w:hint="eastAsia"/>
          <w:sz w:val="20"/>
          <w:szCs w:val="20"/>
        </w:rPr>
        <w:t xml:space="preserve"> </w:t>
      </w:r>
      <w:r>
        <w:rPr>
          <w:sz w:val="20"/>
          <w:szCs w:val="20"/>
        </w:rPr>
        <w:t>from</w:t>
      </w:r>
      <w:r>
        <w:rPr>
          <w:rFonts w:hint="eastAsia"/>
          <w:sz w:val="20"/>
          <w:szCs w:val="20"/>
        </w:rPr>
        <w:t xml:space="preserve"> humans, but it is easy to find out that mouse TCRs clusters of </w:t>
      </w:r>
      <w:r>
        <w:rPr>
          <w:sz w:val="20"/>
          <w:szCs w:val="20"/>
        </w:rPr>
        <w:t>epitope</w:t>
      </w:r>
      <w:r>
        <w:rPr>
          <w:rFonts w:hint="eastAsia"/>
          <w:sz w:val="20"/>
          <w:szCs w:val="20"/>
        </w:rPr>
        <w:t xml:space="preserve">s are formed clearly as well from </w:t>
      </w:r>
      <w:r w:rsidRPr="00EF5A54">
        <w:rPr>
          <w:sz w:val="20"/>
          <w:szCs w:val="20"/>
        </w:rPr>
        <w:t xml:space="preserve">the observation of alpha chain beta chain, and </w:t>
      </w:r>
      <w:r>
        <w:rPr>
          <w:rFonts w:hint="eastAsia"/>
          <w:sz w:val="20"/>
          <w:szCs w:val="20"/>
        </w:rPr>
        <w:t>combined</w:t>
      </w:r>
      <w:r w:rsidRPr="00EF5A54">
        <w:rPr>
          <w:sz w:val="20"/>
          <w:szCs w:val="20"/>
        </w:rPr>
        <w:t xml:space="preserve"> chain</w:t>
      </w:r>
      <w:r>
        <w:rPr>
          <w:rFonts w:hint="eastAsia"/>
          <w:sz w:val="20"/>
          <w:szCs w:val="20"/>
        </w:rPr>
        <w:t>.</w:t>
      </w:r>
      <w:r w:rsidR="00833DE6">
        <w:rPr>
          <w:rFonts w:hint="eastAsia"/>
          <w:sz w:val="20"/>
          <w:szCs w:val="20"/>
        </w:rPr>
        <w:t xml:space="preserve"> </w:t>
      </w:r>
      <w:r w:rsidR="00833DE6" w:rsidRPr="00833DE6">
        <w:rPr>
          <w:sz w:val="20"/>
          <w:szCs w:val="20"/>
        </w:rPr>
        <w:t xml:space="preserve">It can be inferred that the binding of TCR to antigen epitopes also </w:t>
      </w:r>
      <w:r w:rsidR="00833DE6">
        <w:rPr>
          <w:rFonts w:hint="eastAsia"/>
          <w:sz w:val="20"/>
          <w:szCs w:val="20"/>
        </w:rPr>
        <w:t xml:space="preserve">has </w:t>
      </w:r>
      <w:r w:rsidR="00833DE6" w:rsidRPr="00833DE6">
        <w:rPr>
          <w:sz w:val="20"/>
          <w:szCs w:val="20"/>
        </w:rPr>
        <w:t>specific</w:t>
      </w:r>
      <w:r w:rsidR="00833DE6">
        <w:rPr>
          <w:rFonts w:hint="eastAsia"/>
          <w:sz w:val="20"/>
          <w:szCs w:val="20"/>
        </w:rPr>
        <w:t>ity</w:t>
      </w:r>
      <w:r w:rsidR="00833DE6" w:rsidRPr="00833DE6">
        <w:rPr>
          <w:sz w:val="20"/>
          <w:szCs w:val="20"/>
        </w:rPr>
        <w:t xml:space="preserve"> and cross-reactiv</w:t>
      </w:r>
      <w:r w:rsidR="00833DE6">
        <w:rPr>
          <w:rFonts w:hint="eastAsia"/>
          <w:sz w:val="20"/>
          <w:szCs w:val="20"/>
        </w:rPr>
        <w:t>ity in mouse species</w:t>
      </w:r>
      <w:r w:rsidR="00833DE6" w:rsidRPr="00833DE6">
        <w:rPr>
          <w:sz w:val="20"/>
          <w:szCs w:val="20"/>
        </w:rPr>
        <w:t>.</w:t>
      </w:r>
    </w:p>
    <w:p w14:paraId="7AF060FA" w14:textId="3FA2A762" w:rsidR="00CB3C4A" w:rsidRPr="00833DE6" w:rsidRDefault="00CB3C4A" w:rsidP="00681F4A">
      <w:pPr>
        <w:rPr>
          <w:sz w:val="20"/>
          <w:szCs w:val="20"/>
        </w:rPr>
      </w:pPr>
    </w:p>
    <w:p w14:paraId="1618C4D5" w14:textId="3A149109" w:rsidR="00CB3C4A" w:rsidRDefault="00CB3C4A" w:rsidP="00681F4A">
      <w:pPr>
        <w:rPr>
          <w:sz w:val="20"/>
          <w:szCs w:val="20"/>
        </w:rPr>
      </w:pPr>
    </w:p>
    <w:p w14:paraId="4A7F5098" w14:textId="60536F78" w:rsidR="00E02736" w:rsidRDefault="00E02736" w:rsidP="00681F4A">
      <w:pPr>
        <w:rPr>
          <w:sz w:val="20"/>
          <w:szCs w:val="20"/>
        </w:rPr>
      </w:pPr>
    </w:p>
    <w:p w14:paraId="6F08C5CE" w14:textId="198FB59F" w:rsidR="00E02736" w:rsidRDefault="00E02736" w:rsidP="00681F4A">
      <w:pPr>
        <w:rPr>
          <w:sz w:val="20"/>
          <w:szCs w:val="20"/>
        </w:rPr>
      </w:pPr>
    </w:p>
    <w:p w14:paraId="1E3B4F17" w14:textId="4BA1F45C" w:rsidR="00E02736" w:rsidRDefault="00E02736" w:rsidP="00681F4A">
      <w:pPr>
        <w:rPr>
          <w:sz w:val="20"/>
          <w:szCs w:val="20"/>
        </w:rPr>
      </w:pPr>
    </w:p>
    <w:p w14:paraId="4F9F7031" w14:textId="27DEFDCA" w:rsidR="00E02736" w:rsidRDefault="00E02736" w:rsidP="00681F4A">
      <w:pPr>
        <w:rPr>
          <w:sz w:val="20"/>
          <w:szCs w:val="20"/>
        </w:rPr>
      </w:pPr>
    </w:p>
    <w:p w14:paraId="3CC5298D" w14:textId="05A854FA" w:rsidR="00E02736" w:rsidRDefault="00E02736" w:rsidP="00681F4A">
      <w:pPr>
        <w:rPr>
          <w:sz w:val="20"/>
          <w:szCs w:val="20"/>
        </w:rPr>
      </w:pPr>
    </w:p>
    <w:p w14:paraId="5BB09A88" w14:textId="6C796229" w:rsidR="00E02736" w:rsidRDefault="00E02736" w:rsidP="00681F4A">
      <w:pPr>
        <w:rPr>
          <w:sz w:val="20"/>
          <w:szCs w:val="20"/>
        </w:rPr>
      </w:pPr>
    </w:p>
    <w:p w14:paraId="2ADB14D6" w14:textId="77777777" w:rsidR="00E02736" w:rsidRDefault="00E02736" w:rsidP="00681F4A">
      <w:pPr>
        <w:rPr>
          <w:sz w:val="20"/>
          <w:szCs w:val="20"/>
        </w:rPr>
      </w:pPr>
    </w:p>
    <w:p w14:paraId="71ADA05F" w14:textId="031D8DDC" w:rsidR="00E02736" w:rsidRDefault="00E02736" w:rsidP="00681F4A">
      <w:pPr>
        <w:rPr>
          <w:sz w:val="20"/>
          <w:szCs w:val="20"/>
        </w:rPr>
      </w:pPr>
    </w:p>
    <w:p w14:paraId="4E98B38A" w14:textId="77777777" w:rsidR="00E02736" w:rsidRDefault="00E02736" w:rsidP="00681F4A">
      <w:pPr>
        <w:rPr>
          <w:sz w:val="20"/>
          <w:szCs w:val="20"/>
        </w:rPr>
      </w:pPr>
    </w:p>
    <w:p w14:paraId="6EE8DE77" w14:textId="54564022" w:rsidR="00E02736" w:rsidRDefault="00E02736" w:rsidP="00681F4A">
      <w:pPr>
        <w:rPr>
          <w:sz w:val="20"/>
          <w:szCs w:val="20"/>
        </w:rPr>
      </w:pPr>
    </w:p>
    <w:p w14:paraId="275E3488" w14:textId="011B5276" w:rsidR="00E02736" w:rsidRDefault="00E02736" w:rsidP="00681F4A">
      <w:pPr>
        <w:rPr>
          <w:sz w:val="20"/>
          <w:szCs w:val="20"/>
        </w:rPr>
      </w:pPr>
    </w:p>
    <w:p w14:paraId="21493EFB" w14:textId="1BB8BB55" w:rsidR="00E02736" w:rsidRDefault="00E02736" w:rsidP="00681F4A">
      <w:pPr>
        <w:rPr>
          <w:sz w:val="20"/>
          <w:szCs w:val="20"/>
        </w:rPr>
      </w:pPr>
    </w:p>
    <w:p w14:paraId="6F82F5CD" w14:textId="77777777" w:rsidR="00E02736" w:rsidRDefault="00E02736" w:rsidP="00681F4A">
      <w:pPr>
        <w:rPr>
          <w:sz w:val="20"/>
          <w:szCs w:val="20"/>
        </w:rPr>
      </w:pPr>
    </w:p>
    <w:p w14:paraId="7789F267" w14:textId="4D197DF8" w:rsidR="00CB3C4A" w:rsidRPr="0043170A" w:rsidRDefault="00CB3C4A" w:rsidP="00681F4A">
      <w:pPr>
        <w:rPr>
          <w:sz w:val="20"/>
          <w:szCs w:val="20"/>
        </w:rPr>
      </w:pPr>
    </w:p>
    <w:sectPr w:rsidR="00CB3C4A" w:rsidRPr="004317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F508A" w14:textId="77777777" w:rsidR="006040EA" w:rsidRDefault="006040EA" w:rsidP="004B524B">
      <w:r>
        <w:separator/>
      </w:r>
    </w:p>
  </w:endnote>
  <w:endnote w:type="continuationSeparator" w:id="0">
    <w:p w14:paraId="56A07DD5" w14:textId="77777777" w:rsidR="006040EA" w:rsidRDefault="006040EA" w:rsidP="004B5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9425C5" w14:textId="77777777" w:rsidR="006040EA" w:rsidRDefault="006040EA" w:rsidP="004B524B">
      <w:r>
        <w:separator/>
      </w:r>
    </w:p>
  </w:footnote>
  <w:footnote w:type="continuationSeparator" w:id="0">
    <w:p w14:paraId="4EDE9E40" w14:textId="77777777" w:rsidR="006040EA" w:rsidRDefault="006040EA" w:rsidP="004B5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351776"/>
    <w:multiLevelType w:val="hybridMultilevel"/>
    <w:tmpl w:val="42008550"/>
    <w:lvl w:ilvl="0" w:tplc="7B04DD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7D42C93"/>
    <w:multiLevelType w:val="hybridMultilevel"/>
    <w:tmpl w:val="88467D36"/>
    <w:lvl w:ilvl="0" w:tplc="03D2E6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47272561">
    <w:abstractNumId w:val="1"/>
  </w:num>
  <w:num w:numId="2" w16cid:durableId="597255813">
    <w:abstractNumId w:val="0"/>
  </w:num>
  <w:num w:numId="3" w16cid:durableId="2108230476">
    <w:abstractNumId w:val="2"/>
  </w:num>
  <w:num w:numId="4" w16cid:durableId="1426801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882"/>
    <w:rsid w:val="000039CC"/>
    <w:rsid w:val="000432FD"/>
    <w:rsid w:val="000607AF"/>
    <w:rsid w:val="000A1842"/>
    <w:rsid w:val="000C5F8D"/>
    <w:rsid w:val="000E2D80"/>
    <w:rsid w:val="00104A1B"/>
    <w:rsid w:val="001077CD"/>
    <w:rsid w:val="00120878"/>
    <w:rsid w:val="001214EA"/>
    <w:rsid w:val="00127116"/>
    <w:rsid w:val="0016567A"/>
    <w:rsid w:val="001A144A"/>
    <w:rsid w:val="001B2546"/>
    <w:rsid w:val="001F47B9"/>
    <w:rsid w:val="001F743D"/>
    <w:rsid w:val="00206677"/>
    <w:rsid w:val="00220401"/>
    <w:rsid w:val="002400F0"/>
    <w:rsid w:val="00281444"/>
    <w:rsid w:val="00290919"/>
    <w:rsid w:val="002A48EA"/>
    <w:rsid w:val="002B2213"/>
    <w:rsid w:val="00346E7C"/>
    <w:rsid w:val="00362AE5"/>
    <w:rsid w:val="00376DB3"/>
    <w:rsid w:val="003A23A5"/>
    <w:rsid w:val="003B2AF9"/>
    <w:rsid w:val="003B7B6B"/>
    <w:rsid w:val="003C6A94"/>
    <w:rsid w:val="0042550D"/>
    <w:rsid w:val="0043170A"/>
    <w:rsid w:val="0043686A"/>
    <w:rsid w:val="0044363B"/>
    <w:rsid w:val="0046176F"/>
    <w:rsid w:val="00493AE1"/>
    <w:rsid w:val="004B524B"/>
    <w:rsid w:val="00510C6A"/>
    <w:rsid w:val="005A7B4C"/>
    <w:rsid w:val="005C7578"/>
    <w:rsid w:val="005D7484"/>
    <w:rsid w:val="005E7279"/>
    <w:rsid w:val="006040EA"/>
    <w:rsid w:val="006306E1"/>
    <w:rsid w:val="00647BCF"/>
    <w:rsid w:val="00681F4A"/>
    <w:rsid w:val="006A0829"/>
    <w:rsid w:val="006C64B4"/>
    <w:rsid w:val="006D5BEC"/>
    <w:rsid w:val="006F6882"/>
    <w:rsid w:val="007449EB"/>
    <w:rsid w:val="00765F34"/>
    <w:rsid w:val="007710C7"/>
    <w:rsid w:val="00783481"/>
    <w:rsid w:val="007B0364"/>
    <w:rsid w:val="007E73E8"/>
    <w:rsid w:val="00823C18"/>
    <w:rsid w:val="00825EFF"/>
    <w:rsid w:val="00833DE6"/>
    <w:rsid w:val="00875607"/>
    <w:rsid w:val="00894A14"/>
    <w:rsid w:val="008C78E7"/>
    <w:rsid w:val="009213A0"/>
    <w:rsid w:val="00980D73"/>
    <w:rsid w:val="009E1008"/>
    <w:rsid w:val="009E205B"/>
    <w:rsid w:val="00A33A2B"/>
    <w:rsid w:val="00A434A9"/>
    <w:rsid w:val="00A660DB"/>
    <w:rsid w:val="00AB08E1"/>
    <w:rsid w:val="00AB1524"/>
    <w:rsid w:val="00AD44A1"/>
    <w:rsid w:val="00B017CA"/>
    <w:rsid w:val="00B10B31"/>
    <w:rsid w:val="00B17017"/>
    <w:rsid w:val="00B214EF"/>
    <w:rsid w:val="00B631C2"/>
    <w:rsid w:val="00B65171"/>
    <w:rsid w:val="00B93FD2"/>
    <w:rsid w:val="00BA7825"/>
    <w:rsid w:val="00BB4256"/>
    <w:rsid w:val="00BD42E2"/>
    <w:rsid w:val="00BF3D9F"/>
    <w:rsid w:val="00C02CC0"/>
    <w:rsid w:val="00C111C8"/>
    <w:rsid w:val="00C121C8"/>
    <w:rsid w:val="00C52791"/>
    <w:rsid w:val="00C67B88"/>
    <w:rsid w:val="00CA15A3"/>
    <w:rsid w:val="00CB3C4A"/>
    <w:rsid w:val="00CB7753"/>
    <w:rsid w:val="00D61DEB"/>
    <w:rsid w:val="00D81CF6"/>
    <w:rsid w:val="00D84111"/>
    <w:rsid w:val="00DA1A85"/>
    <w:rsid w:val="00DE50D3"/>
    <w:rsid w:val="00E02736"/>
    <w:rsid w:val="00E16714"/>
    <w:rsid w:val="00E17177"/>
    <w:rsid w:val="00E22182"/>
    <w:rsid w:val="00E27B4E"/>
    <w:rsid w:val="00E4194D"/>
    <w:rsid w:val="00E507C5"/>
    <w:rsid w:val="00EF5A54"/>
    <w:rsid w:val="00F0153D"/>
    <w:rsid w:val="00F379AD"/>
    <w:rsid w:val="00F530E3"/>
    <w:rsid w:val="00F64E39"/>
    <w:rsid w:val="00F66860"/>
    <w:rsid w:val="00F861ED"/>
    <w:rsid w:val="00FC2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69BF4"/>
  <w15:chartTrackingRefBased/>
  <w15:docId w15:val="{ABB27A2E-63BB-45B2-96F1-4CD0C5C02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4A14"/>
    <w:pPr>
      <w:widowControl w:val="0"/>
      <w:jc w:val="both"/>
    </w:pPr>
  </w:style>
  <w:style w:type="paragraph" w:styleId="1">
    <w:name w:val="heading 1"/>
    <w:basedOn w:val="a"/>
    <w:next w:val="a"/>
    <w:link w:val="10"/>
    <w:qFormat/>
    <w:rsid w:val="0043170A"/>
    <w:pPr>
      <w:keepNext/>
      <w:keepLines/>
      <w:widowControl/>
      <w:numPr>
        <w:numId w:val="1"/>
      </w:numPr>
      <w:tabs>
        <w:tab w:val="left" w:pos="216"/>
      </w:tabs>
      <w:spacing w:before="160" w:after="80"/>
      <w:ind w:firstLine="0"/>
      <w:jc w:val="center"/>
      <w:outlineLvl w:val="0"/>
    </w:pPr>
    <w:rPr>
      <w:rFonts w:ascii="Times New Roman" w:eastAsia="宋体" w:hAnsi="Times New Roman" w:cs="Times New Roman"/>
      <w:smallCaps/>
      <w:noProof/>
      <w:kern w:val="0"/>
      <w:sz w:val="20"/>
      <w:szCs w:val="20"/>
      <w:lang w:eastAsia="en-US"/>
      <w14:ligatures w14:val="none"/>
    </w:rPr>
  </w:style>
  <w:style w:type="paragraph" w:styleId="2">
    <w:name w:val="heading 2"/>
    <w:basedOn w:val="a"/>
    <w:next w:val="a"/>
    <w:link w:val="20"/>
    <w:qFormat/>
    <w:rsid w:val="0043170A"/>
    <w:pPr>
      <w:keepNext/>
      <w:keepLines/>
      <w:widowControl/>
      <w:numPr>
        <w:ilvl w:val="1"/>
        <w:numId w:val="1"/>
      </w:numPr>
      <w:spacing w:before="120" w:after="60"/>
      <w:jc w:val="left"/>
      <w:outlineLvl w:val="1"/>
    </w:pPr>
    <w:rPr>
      <w:rFonts w:ascii="Times New Roman" w:eastAsia="宋体" w:hAnsi="Times New Roman" w:cs="Times New Roman"/>
      <w:i/>
      <w:iCs/>
      <w:noProof/>
      <w:kern w:val="0"/>
      <w:sz w:val="20"/>
      <w:szCs w:val="20"/>
      <w:lang w:eastAsia="en-US"/>
      <w14:ligatures w14:val="none"/>
    </w:rPr>
  </w:style>
  <w:style w:type="paragraph" w:styleId="3">
    <w:name w:val="heading 3"/>
    <w:basedOn w:val="a"/>
    <w:next w:val="a"/>
    <w:link w:val="30"/>
    <w:qFormat/>
    <w:rsid w:val="0043170A"/>
    <w:pPr>
      <w:widowControl/>
      <w:numPr>
        <w:ilvl w:val="2"/>
        <w:numId w:val="1"/>
      </w:numPr>
      <w:spacing w:line="240" w:lineRule="exact"/>
      <w:ind w:firstLine="288"/>
      <w:outlineLvl w:val="2"/>
    </w:pPr>
    <w:rPr>
      <w:rFonts w:ascii="Times New Roman" w:eastAsia="宋体" w:hAnsi="Times New Roman" w:cs="Times New Roman"/>
      <w:i/>
      <w:iCs/>
      <w:noProof/>
      <w:kern w:val="0"/>
      <w:sz w:val="20"/>
      <w:szCs w:val="20"/>
      <w:lang w:eastAsia="en-US"/>
      <w14:ligatures w14:val="none"/>
    </w:rPr>
  </w:style>
  <w:style w:type="paragraph" w:styleId="4">
    <w:name w:val="heading 4"/>
    <w:basedOn w:val="a"/>
    <w:next w:val="a"/>
    <w:link w:val="40"/>
    <w:qFormat/>
    <w:rsid w:val="0043170A"/>
    <w:pPr>
      <w:widowControl/>
      <w:numPr>
        <w:ilvl w:val="3"/>
        <w:numId w:val="1"/>
      </w:numPr>
      <w:tabs>
        <w:tab w:val="clear" w:pos="630"/>
        <w:tab w:val="left" w:pos="720"/>
      </w:tabs>
      <w:spacing w:before="40" w:after="40"/>
      <w:ind w:firstLine="504"/>
      <w:outlineLvl w:val="3"/>
    </w:pPr>
    <w:rPr>
      <w:rFonts w:ascii="Times New Roman" w:eastAsia="宋体" w:hAnsi="Times New Roman" w:cs="Times New Roman"/>
      <w:i/>
      <w:iCs/>
      <w:noProof/>
      <w:kern w:val="0"/>
      <w:sz w:val="20"/>
      <w:szCs w:val="20"/>
      <w:lang w:eastAsia="en-US"/>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524B"/>
    <w:pPr>
      <w:tabs>
        <w:tab w:val="center" w:pos="4153"/>
        <w:tab w:val="right" w:pos="8306"/>
      </w:tabs>
      <w:snapToGrid w:val="0"/>
      <w:jc w:val="center"/>
    </w:pPr>
    <w:rPr>
      <w:sz w:val="18"/>
      <w:szCs w:val="18"/>
    </w:rPr>
  </w:style>
  <w:style w:type="character" w:customStyle="1" w:styleId="a4">
    <w:name w:val="页眉 字符"/>
    <w:basedOn w:val="a0"/>
    <w:link w:val="a3"/>
    <w:uiPriority w:val="99"/>
    <w:rsid w:val="004B524B"/>
    <w:rPr>
      <w:sz w:val="18"/>
      <w:szCs w:val="18"/>
    </w:rPr>
  </w:style>
  <w:style w:type="paragraph" w:styleId="a5">
    <w:name w:val="footer"/>
    <w:basedOn w:val="a"/>
    <w:link w:val="a6"/>
    <w:uiPriority w:val="99"/>
    <w:unhideWhenUsed/>
    <w:rsid w:val="004B524B"/>
    <w:pPr>
      <w:tabs>
        <w:tab w:val="center" w:pos="4153"/>
        <w:tab w:val="right" w:pos="8306"/>
      </w:tabs>
      <w:snapToGrid w:val="0"/>
      <w:jc w:val="left"/>
    </w:pPr>
    <w:rPr>
      <w:sz w:val="18"/>
      <w:szCs w:val="18"/>
    </w:rPr>
  </w:style>
  <w:style w:type="character" w:customStyle="1" w:styleId="a6">
    <w:name w:val="页脚 字符"/>
    <w:basedOn w:val="a0"/>
    <w:link w:val="a5"/>
    <w:uiPriority w:val="99"/>
    <w:rsid w:val="004B524B"/>
    <w:rPr>
      <w:sz w:val="18"/>
      <w:szCs w:val="18"/>
    </w:rPr>
  </w:style>
  <w:style w:type="character" w:styleId="a7">
    <w:name w:val="Strong"/>
    <w:basedOn w:val="a0"/>
    <w:uiPriority w:val="22"/>
    <w:qFormat/>
    <w:rsid w:val="00647BCF"/>
    <w:rPr>
      <w:b/>
      <w:bCs/>
    </w:rPr>
  </w:style>
  <w:style w:type="character" w:customStyle="1" w:styleId="10">
    <w:name w:val="标题 1 字符"/>
    <w:basedOn w:val="a0"/>
    <w:link w:val="1"/>
    <w:rsid w:val="0043170A"/>
    <w:rPr>
      <w:rFonts w:ascii="Times New Roman" w:eastAsia="宋体" w:hAnsi="Times New Roman" w:cs="Times New Roman"/>
      <w:smallCaps/>
      <w:noProof/>
      <w:kern w:val="0"/>
      <w:sz w:val="20"/>
      <w:szCs w:val="20"/>
      <w:lang w:eastAsia="en-US"/>
      <w14:ligatures w14:val="none"/>
    </w:rPr>
  </w:style>
  <w:style w:type="character" w:customStyle="1" w:styleId="20">
    <w:name w:val="标题 2 字符"/>
    <w:basedOn w:val="a0"/>
    <w:link w:val="2"/>
    <w:rsid w:val="0043170A"/>
    <w:rPr>
      <w:rFonts w:ascii="Times New Roman" w:eastAsia="宋体" w:hAnsi="Times New Roman" w:cs="Times New Roman"/>
      <w:i/>
      <w:iCs/>
      <w:noProof/>
      <w:kern w:val="0"/>
      <w:sz w:val="20"/>
      <w:szCs w:val="20"/>
      <w:lang w:eastAsia="en-US"/>
      <w14:ligatures w14:val="none"/>
    </w:rPr>
  </w:style>
  <w:style w:type="character" w:customStyle="1" w:styleId="30">
    <w:name w:val="标题 3 字符"/>
    <w:basedOn w:val="a0"/>
    <w:link w:val="3"/>
    <w:rsid w:val="0043170A"/>
    <w:rPr>
      <w:rFonts w:ascii="Times New Roman" w:eastAsia="宋体" w:hAnsi="Times New Roman" w:cs="Times New Roman"/>
      <w:i/>
      <w:iCs/>
      <w:noProof/>
      <w:kern w:val="0"/>
      <w:sz w:val="20"/>
      <w:szCs w:val="20"/>
      <w:lang w:eastAsia="en-US"/>
      <w14:ligatures w14:val="none"/>
    </w:rPr>
  </w:style>
  <w:style w:type="character" w:customStyle="1" w:styleId="40">
    <w:name w:val="标题 4 字符"/>
    <w:basedOn w:val="a0"/>
    <w:link w:val="4"/>
    <w:rsid w:val="0043170A"/>
    <w:rPr>
      <w:rFonts w:ascii="Times New Roman" w:eastAsia="宋体" w:hAnsi="Times New Roman" w:cs="Times New Roman"/>
      <w:i/>
      <w:iCs/>
      <w:noProof/>
      <w:kern w:val="0"/>
      <w:sz w:val="20"/>
      <w:szCs w:val="20"/>
      <w:lang w:eastAsia="en-US"/>
      <w14:ligatures w14:val="none"/>
    </w:rPr>
  </w:style>
  <w:style w:type="paragraph" w:styleId="a8">
    <w:name w:val="List Paragraph"/>
    <w:basedOn w:val="a"/>
    <w:uiPriority w:val="34"/>
    <w:qFormat/>
    <w:rsid w:val="0020667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51313">
      <w:bodyDiv w:val="1"/>
      <w:marLeft w:val="0"/>
      <w:marRight w:val="0"/>
      <w:marTop w:val="0"/>
      <w:marBottom w:val="0"/>
      <w:divBdr>
        <w:top w:val="none" w:sz="0" w:space="0" w:color="auto"/>
        <w:left w:val="none" w:sz="0" w:space="0" w:color="auto"/>
        <w:bottom w:val="none" w:sz="0" w:space="0" w:color="auto"/>
        <w:right w:val="none" w:sz="0" w:space="0" w:color="auto"/>
      </w:divBdr>
    </w:div>
    <w:div w:id="175165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1091</TotalTime>
  <Pages>5</Pages>
  <Words>1115</Words>
  <Characters>6359</Characters>
  <Application>Microsoft Office Word</Application>
  <DocSecurity>0</DocSecurity>
  <Lines>52</Lines>
  <Paragraphs>14</Paragraphs>
  <ScaleCrop>false</ScaleCrop>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Zewei Yu</dc:creator>
  <cp:keywords/>
  <dc:description/>
  <cp:lastModifiedBy>Zewei Yu</cp:lastModifiedBy>
  <cp:revision>170</cp:revision>
  <dcterms:created xsi:type="dcterms:W3CDTF">2024-04-26T08:52:00Z</dcterms:created>
  <dcterms:modified xsi:type="dcterms:W3CDTF">2024-04-27T17:37:00Z</dcterms:modified>
</cp:coreProperties>
</file>