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5AF8" w14:textId="610697C0" w:rsidR="001A1331" w:rsidRDefault="00643D32">
      <w:r>
        <w:t>TCR Dist</w:t>
      </w:r>
    </w:p>
    <w:p w14:paraId="5B8C6423" w14:textId="2D625E0E" w:rsidR="00643D32" w:rsidRDefault="00643D32">
      <w:r>
        <w:t>TCRDist  was used to calculate the distance metric between alpha and beta chains and alpha+Beta chain combined.</w:t>
      </w:r>
    </w:p>
    <w:p w14:paraId="477E03DF" w14:textId="42BF7D49" w:rsidR="00843E0A" w:rsidRDefault="00643D32" w:rsidP="00843E0A">
      <w:r>
        <w:t xml:space="preserve">In this methodology, </w:t>
      </w:r>
      <w:r w:rsidR="00843E0A">
        <w:t>T-cell receptor (TCR) repertoire analysis conducted using TCRdist, a computational tool designed to quantify the similarity between TCR sequences. This analysis is focused on the alpha and beta chains of TCRs from mouse and human samples, which are part of the immune system's mechanism for recognizing and responding to pathogens.</w:t>
      </w:r>
    </w:p>
    <w:p w14:paraId="37D102B0" w14:textId="347DCC8D" w:rsidR="00843E0A" w:rsidRDefault="00843E0A" w:rsidP="00843E0A">
      <w:r>
        <w:t>In the context of immunology, TCRs are highly variable receptors that enable T cells to recognize a vast array of antigens presented by the major histocompatibility complex (MHC) on the surface of other cells. The unique variability in the TCR regions, especially the Complementarity Determining Regions (CDRs), is crucial for the immune system's ability to respond to diverse pathogens.</w:t>
      </w:r>
      <w:r>
        <w:br/>
      </w:r>
      <w:r>
        <w:br/>
        <w:t>Regarding the images which represent the results from the UMAP dimensionality reduction applied to the TCRdist matrices:</w:t>
      </w:r>
    </w:p>
    <w:p w14:paraId="6860E517" w14:textId="77777777" w:rsidR="00843E0A" w:rsidRDefault="00843E0A" w:rsidP="00843E0A">
      <w:r>
        <w:t>The mouse data shows clusters of TCR sequences with similar characteristics, which likely correspond to TCRs that recognize similar antigens. The clustering pattern is relatively spread out, indicating diversity in the TCR repertoire.</w:t>
      </w:r>
    </w:p>
    <w:p w14:paraId="0A433840" w14:textId="6841844F" w:rsidR="00643D32" w:rsidRDefault="00843E0A" w:rsidP="00843E0A">
      <w:r>
        <w:t>The human data also shows clustering, which indicates that certain TCR sequences are more similar to each other than others, likely due to common antigen recognition.</w:t>
      </w:r>
    </w:p>
    <w:p w14:paraId="507DC181" w14:textId="79E71E39" w:rsidR="00556214" w:rsidRDefault="00843E0A" w:rsidP="00843E0A">
      <w:r w:rsidRPr="00843E0A">
        <w:t>Weights (weights_a and weights_b) are assigned to different regions, such as the CDR3, to emphasize their importance in antigen recognition. In the provided code, the cdr3 regions are given a weight of 3, reflecting their critical role in specificity, as the CDR3 region is the most variable and directly interacts with the peptide presented by MHC molecules.</w:t>
      </w:r>
      <w:r w:rsidR="00556214">
        <w:t xml:space="preserve"> The weights of the hypterparameter was chosen after tedious process of predictions from the KNN algorithm.</w:t>
      </w:r>
    </w:p>
    <w:p w14:paraId="6FA6DEAE" w14:textId="36D2CFE1" w:rsidR="00843E0A" w:rsidRDefault="00843E0A" w:rsidP="00843E0A">
      <w:r w:rsidRPr="00843E0A">
        <w:t xml:space="preserve"> Hamming distance is used for its simplicity and effectiveness in capturing sequence similarity.</w:t>
      </w:r>
    </w:p>
    <w:p w14:paraId="03B12694" w14:textId="77777777" w:rsidR="00556214" w:rsidRDefault="00843E0A" w:rsidP="00843E0A">
      <w:r>
        <w:t>Other distance metrics were tried out like the default and Euclidean distance , hamming distance had given the better accuracy of them all.</w:t>
      </w:r>
      <w:r w:rsidRPr="00843E0A">
        <w:t xml:space="preserve"> </w:t>
      </w:r>
    </w:p>
    <w:p w14:paraId="341450CA" w14:textId="0C5574D7" w:rsidR="00843E0A" w:rsidRDefault="00556214" w:rsidP="00843E0A">
      <w:r>
        <w:t>T</w:t>
      </w:r>
      <w:r w:rsidRPr="00556214">
        <w:t>he ability to discern subtle differences between TCR sequences is critical because small changes can significantly alter antigen specificity. UMAP's preservation of both local and global structures helps in identifying clusters that might represent TCRs targeting the same antigen or similar antigens. This is crucial in understanding the immune response, which is often the goal of such analyses.</w:t>
      </w:r>
      <w:r>
        <w:t xml:space="preserve"> This clearly shown in the clusters formed and shown in the UMAP dimension reduction algorithm. </w:t>
      </w:r>
    </w:p>
    <w:p w14:paraId="4ACB80D7" w14:textId="7C646F72" w:rsidR="00843E0A" w:rsidRDefault="00843E0A" w:rsidP="00843E0A">
      <w:r w:rsidRPr="00843E0A">
        <w:t>The choice between UMAP and other dimensionality reduction methods should be based on the specific requirements of the data and the goals of the analysis. For the visualization of complex immunological datasets where both local similarity (fine-grained clustering of very similar TCRs) and broader trends (such as the overall diversity of the TCR repertoire) are important, UMAP is often the preferred choice.</w:t>
      </w:r>
    </w:p>
    <w:p w14:paraId="75E7A63F" w14:textId="77777777" w:rsidR="00556214" w:rsidRDefault="00556214" w:rsidP="00843E0A"/>
    <w:p w14:paraId="5D5A6FD7" w14:textId="495B2F19" w:rsidR="00556214" w:rsidRDefault="00556214" w:rsidP="00556214">
      <w:r>
        <w:t>1. https://www.ncbi.nlm.nih.gov/pmc/articles/PMC9719034/</w:t>
      </w:r>
    </w:p>
    <w:p w14:paraId="71816458" w14:textId="77777777" w:rsidR="00556214" w:rsidRDefault="00556214" w:rsidP="00556214">
      <w:r>
        <w:lastRenderedPageBreak/>
        <w:t>2. https://www.frontiersin.org/journals/immunology/articles/10.3389/fimmu.2021.640725/full</w:t>
      </w:r>
    </w:p>
    <w:p w14:paraId="0BF36AA0" w14:textId="77777777" w:rsidR="00556214" w:rsidRDefault="00556214" w:rsidP="00556214">
      <w:r>
        <w:t>3. https://www.frontiersin.org/journals/immunology/articles/10.3389/fimmu.2020.01803/full</w:t>
      </w:r>
    </w:p>
    <w:p w14:paraId="144E29E9" w14:textId="77777777" w:rsidR="00556214" w:rsidRDefault="00556214" w:rsidP="00556214">
      <w:r>
        <w:t>4.https://www.annualreviews.org/content/journals/10.1146/annurev-immunol-082119-124838</w:t>
      </w:r>
    </w:p>
    <w:p w14:paraId="3A585C80" w14:textId="15AA8273" w:rsidR="00556214" w:rsidRDefault="00556214" w:rsidP="00556214">
      <w:r>
        <w:t>5.https://elifesciences.org/reviewed-preprints/88837v1#abstract</w:t>
      </w:r>
    </w:p>
    <w:p w14:paraId="45CD67CD" w14:textId="2EC9BFDB" w:rsidR="00556214" w:rsidRDefault="00556214" w:rsidP="00556214">
      <w:r>
        <w:t>6. Vujovic M, Degn KF, Marin FI, Schaap-Johansen AL, Chain B, Andresen TL, Kaplinsky J, Marcatili P. T cell receptor sequence clustering and antigen specificity. Comput Struct Biotechnol J (2020) 18:2166–2173. doi:10.1016/j.csbj.2020.06.041</w:t>
      </w:r>
    </w:p>
    <w:p w14:paraId="6D1B434A" w14:textId="77777777" w:rsidR="00556214" w:rsidRDefault="00556214" w:rsidP="00556214"/>
    <w:p w14:paraId="4E0AB476" w14:textId="5141D295" w:rsidR="00556214" w:rsidRDefault="00556214" w:rsidP="00556214">
      <w:r w:rsidRPr="00556214">
        <w:rPr>
          <w:noProof/>
        </w:rPr>
        <w:drawing>
          <wp:inline distT="0" distB="0" distL="0" distR="0" wp14:anchorId="6538798A" wp14:editId="41E4B2EA">
            <wp:extent cx="5943600" cy="4693920"/>
            <wp:effectExtent l="0" t="0" r="0" b="0"/>
            <wp:docPr id="707430389" name="Picture 1" descr="A map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30389" name="Picture 1" descr="A map of different colored dots&#10;&#10;Description automatically generated"/>
                    <pic:cNvPicPr/>
                  </pic:nvPicPr>
                  <pic:blipFill>
                    <a:blip r:embed="rId4"/>
                    <a:stretch>
                      <a:fillRect/>
                    </a:stretch>
                  </pic:blipFill>
                  <pic:spPr>
                    <a:xfrm>
                      <a:off x="0" y="0"/>
                      <a:ext cx="5943600" cy="4693920"/>
                    </a:xfrm>
                    <a:prstGeom prst="rect">
                      <a:avLst/>
                    </a:prstGeom>
                  </pic:spPr>
                </pic:pic>
              </a:graphicData>
            </a:graphic>
          </wp:inline>
        </w:drawing>
      </w:r>
    </w:p>
    <w:p w14:paraId="7C5C02B4" w14:textId="77777777" w:rsidR="00556214" w:rsidRDefault="00556214" w:rsidP="00556214"/>
    <w:p w14:paraId="78A410F6" w14:textId="77777777" w:rsidR="00556214" w:rsidRDefault="00556214" w:rsidP="00556214"/>
    <w:p w14:paraId="2A051EED" w14:textId="59945445" w:rsidR="00556214" w:rsidRDefault="00556214" w:rsidP="00556214">
      <w:r w:rsidRPr="00556214">
        <w:rPr>
          <w:noProof/>
        </w:rPr>
        <w:lastRenderedPageBreak/>
        <w:drawing>
          <wp:inline distT="0" distB="0" distL="0" distR="0" wp14:anchorId="2A71D32E" wp14:editId="4DC9190C">
            <wp:extent cx="5943600" cy="4747260"/>
            <wp:effectExtent l="0" t="0" r="0" b="0"/>
            <wp:docPr id="650016226" name="Picture 1"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16226" name="Picture 1" descr="A diagram of a number of dots&#10;&#10;Description automatically generated with medium confidence"/>
                    <pic:cNvPicPr/>
                  </pic:nvPicPr>
                  <pic:blipFill>
                    <a:blip r:embed="rId5"/>
                    <a:stretch>
                      <a:fillRect/>
                    </a:stretch>
                  </pic:blipFill>
                  <pic:spPr>
                    <a:xfrm>
                      <a:off x="0" y="0"/>
                      <a:ext cx="5943600" cy="4747260"/>
                    </a:xfrm>
                    <a:prstGeom prst="rect">
                      <a:avLst/>
                    </a:prstGeom>
                  </pic:spPr>
                </pic:pic>
              </a:graphicData>
            </a:graphic>
          </wp:inline>
        </w:drawing>
      </w:r>
    </w:p>
    <w:p w14:paraId="6328B59E" w14:textId="77777777" w:rsidR="00FE6951" w:rsidRDefault="00FE6951" w:rsidP="00556214"/>
    <w:p w14:paraId="574C9A36" w14:textId="0EB5E34A" w:rsidR="00FE6951" w:rsidRDefault="00FE6951" w:rsidP="00556214">
      <w:r>
        <w:t xml:space="preserve">Modeling for TCRDist </w:t>
      </w:r>
    </w:p>
    <w:p w14:paraId="576130F2" w14:textId="67DEF462" w:rsidR="006566E5" w:rsidRDefault="006566E5" w:rsidP="00556214">
      <w:r w:rsidRPr="006566E5">
        <w:t xml:space="preserve">After calculating the similarity distance with TCRDist, this metric will be utilized for prediction purposes. Given that the extracted data already constitutes a similarity matrix, it will be concatenated with our primary dataset, excluding the CDR3 region, which is already depicted as a matrix within the dataset. To establish a foundational understanding of feature significance and to obtain preliminary predictive outcomes, a baseline model </w:t>
      </w:r>
      <w:r>
        <w:t>is</w:t>
      </w:r>
      <w:r w:rsidRPr="006566E5">
        <w:t xml:space="preserve"> constructed using a random forest algorithm. This methodology will be applied specifically to human data concerning the Alpha and Beta chains.</w:t>
      </w:r>
    </w:p>
    <w:p w14:paraId="4C6D7471" w14:textId="77777777" w:rsidR="000D021B" w:rsidRDefault="000D021B" w:rsidP="00556214">
      <w:r w:rsidRPr="000D021B">
        <w:t>the considerable imbalance present in the dataset was addressed by designating epitopes as the target variable. Categorical variables within the dataset were transformed using one-hot encoding before being input into a random forest model. This preprocessing approach was also employed to establish a baseline model for GIANA. Furthermore, the Grid Search CV method was utilized to determine the optimal number of estimators. Both TCRDist and GIANA demonstrated promising outcomes; however, GIANA slightly outperformed TCRDist in the baseline model comparison.</w:t>
      </w:r>
    </w:p>
    <w:p w14:paraId="3FF0D9B9" w14:textId="77777777" w:rsidR="000D021B" w:rsidRDefault="000D021B" w:rsidP="00556214"/>
    <w:p w14:paraId="619C24FC" w14:textId="054695C9" w:rsidR="005E2F32" w:rsidRDefault="000D021B" w:rsidP="00556214">
      <w:r w:rsidRPr="000D021B">
        <w:lastRenderedPageBreak/>
        <w:t>The top 50 features of importance were derived from the random forest algorithm. As illustrated in the accompanying graph, it is evident that all the features represented originate from the matrix itself. Notably, none of the variables from the original dataset, such as j_a_gene, v_b_gene, and v_a_gene, contribute significantly to the results.</w:t>
      </w:r>
    </w:p>
    <w:p w14:paraId="47B0C0DA" w14:textId="77777777" w:rsidR="005E2F32" w:rsidRDefault="005E2F32" w:rsidP="00556214"/>
    <w:p w14:paraId="610E6CC9" w14:textId="139C5913" w:rsidR="005E2F32" w:rsidRDefault="005E2F32" w:rsidP="00556214">
      <w:r w:rsidRPr="005E2F32">
        <w:drawing>
          <wp:inline distT="0" distB="0" distL="0" distR="0" wp14:anchorId="7011F202" wp14:editId="4760CD36">
            <wp:extent cx="5943600" cy="5657215"/>
            <wp:effectExtent l="0" t="0" r="0" b="635"/>
            <wp:docPr id="1501802925" name="Picture 1"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02925" name="Picture 1" descr="A graph of a number&#10;&#10;Description automatically generated with medium confidence"/>
                    <pic:cNvPicPr/>
                  </pic:nvPicPr>
                  <pic:blipFill>
                    <a:blip r:embed="rId6"/>
                    <a:stretch>
                      <a:fillRect/>
                    </a:stretch>
                  </pic:blipFill>
                  <pic:spPr>
                    <a:xfrm>
                      <a:off x="0" y="0"/>
                      <a:ext cx="5943600" cy="5657215"/>
                    </a:xfrm>
                    <a:prstGeom prst="rect">
                      <a:avLst/>
                    </a:prstGeom>
                  </pic:spPr>
                </pic:pic>
              </a:graphicData>
            </a:graphic>
          </wp:inline>
        </w:drawing>
      </w:r>
      <w:r>
        <w:t xml:space="preserve"> </w:t>
      </w:r>
    </w:p>
    <w:p w14:paraId="498EA33F" w14:textId="77777777" w:rsidR="005E2F32" w:rsidRDefault="005E2F32" w:rsidP="00556214"/>
    <w:p w14:paraId="6AA0B43F" w14:textId="30F4E399" w:rsidR="005E2F32" w:rsidRDefault="00E63854" w:rsidP="007B1606">
      <w:r>
        <w:t xml:space="preserve">As we can see from the above graph, the distance matrix forms an important part of the prediction. So now, we filter the data into having epitopes and distance matrix only to be pushed into an algorithm. </w:t>
      </w:r>
    </w:p>
    <w:p w14:paraId="246110DC" w14:textId="2EFDAFD1" w:rsidR="00B04067" w:rsidRDefault="00B04067" w:rsidP="007B1606">
      <w:r w:rsidRPr="00B04067">
        <w:t xml:space="preserve">Consequently, the data is refined to include only epitopes and the distance matrix, which are then input into a predictive algorithm. Among the myriad supervised learning algorithms suitable for leveraging distance matrices, the k-nearest neighbors (KNN) algorithm stands out. Renowned for its nonparametric </w:t>
      </w:r>
      <w:r w:rsidRPr="00B04067">
        <w:lastRenderedPageBreak/>
        <w:t xml:space="preserve">approach, KNN contrasts sharply with parametric models, which require adherence to a preset distribution. The KNN algorithm is particularly efficacious in cases where the data forms complex clusters or groups. It operates by computing distances from a query instance directly to training instances, thus allowing for an adaptive evaluation of interrelationships within the dataset. This process is elaborated upon in the study available at this </w:t>
      </w:r>
      <w:r>
        <w:t>(</w:t>
      </w:r>
      <w:hyperlink r:id="rId7" w:history="1">
        <w:r w:rsidRPr="0031151F">
          <w:rPr>
            <w:rStyle w:val="Hyperlink"/>
          </w:rPr>
          <w:t>https://link.springer.com/content/pdf/10.1007/s10472-023-09882-x.pdf</w:t>
        </w:r>
      </w:hyperlink>
      <w:r>
        <w:t>).</w:t>
      </w:r>
      <w:r>
        <w:t xml:space="preserve"> </w:t>
      </w:r>
      <w:r w:rsidRPr="00B04067">
        <w:t>In this context, sequence similarity</w:t>
      </w:r>
      <w:r>
        <w:t xml:space="preserve"> </w:t>
      </w:r>
      <w:r w:rsidRPr="00B04067">
        <w:t>typically encoded as vectors within a multidimensional spac</w:t>
      </w:r>
      <w:r>
        <w:t xml:space="preserve">e </w:t>
      </w:r>
      <w:r w:rsidRPr="00B04067">
        <w:t>plays a pivotal role. The KNN algorithm effectively utilizes these distance calculations to predict attributes or classify data points, providing a sophisticated method</w:t>
      </w:r>
      <w:r>
        <w:t xml:space="preserve"> </w:t>
      </w:r>
      <w:r w:rsidRPr="00B04067">
        <w:t>in biological data analysis.</w:t>
      </w:r>
    </w:p>
    <w:p w14:paraId="701744A3" w14:textId="3F0116A9" w:rsidR="005E2F32" w:rsidRDefault="00B04067" w:rsidP="00556214">
      <w:r w:rsidRPr="00B04067">
        <w:t>we employ the GIANA and TCRDist similarity distance matrices as inputs to the K-Nearest Neighbors (KNN) model. Due to the data imbalance, epitopes represented fewer than five times in the datasets were excluded. This approach ensures the robustness of the KNN model, which utilizes these matrices as precomputed distance metrics. Typically, KNN algorithms utilize Euclidean, Manhattan, or cosine similarity measures. In our methodology, we integrated the precomputed distances from GIANA and TCRDist into the KNN framework. After extensive testing on both mouse and human data concerning the Alpha+Beta chains, we observed superior performance from the GIANA model compared to the TCRDist model. This phase of the study also included hyperparameter tuning to ascertain the optimal k value for the model.</w:t>
      </w:r>
    </w:p>
    <w:p w14:paraId="3DE5C7AD" w14:textId="77777777" w:rsidR="005E2F32" w:rsidRDefault="005E2F32" w:rsidP="00556214">
      <w:r>
        <w:t xml:space="preserve">Results </w:t>
      </w:r>
    </w:p>
    <w:p w14:paraId="2BC95FD8" w14:textId="70F0B847" w:rsidR="00926363" w:rsidRDefault="00926363" w:rsidP="00556214">
      <w:r>
        <w:t xml:space="preserve">Random forest Baseline model </w:t>
      </w:r>
      <w:r w:rsidRPr="00926363">
        <w:t>utilizing TCRDist data, exhibits high accuracy, suggesting overall correct predictions. Nevertheless, the significant disparity between accuracy and other performance. The model demonstrates low precision and recall, indicating a tendency to misclassify instances and overlook numerous positive cases. Consequently, the F1 score is also low, reflecting suboptimal performance.</w:t>
      </w:r>
      <w:r>
        <w:t xml:space="preserve"> Whereas, baseline model </w:t>
      </w:r>
      <w:r w:rsidRPr="00926363">
        <w:t>based on GIANA, shows lower accuracy than</w:t>
      </w:r>
      <w:r>
        <w:t xml:space="preserve"> TCRDist model </w:t>
      </w:r>
      <w:r w:rsidRPr="00926363">
        <w:t xml:space="preserve">but better performance across other metrics, suggesting a more balanced approach to class prediction. It achieves higher precision, indicating more reliable positive predictions, and superior recall, which suggests it is more effective at identifying positive instances. The higher F1 score further confirms that </w:t>
      </w:r>
      <w:r>
        <w:t xml:space="preserve">GIANA model </w:t>
      </w:r>
      <w:r w:rsidRPr="00926363">
        <w:t>maintains a better balance between precision and recall.</w:t>
      </w:r>
      <w:r w:rsidRPr="00926363">
        <w:t xml:space="preserve"> </w:t>
      </w:r>
      <w:r>
        <w:t>Comparing both models,</w:t>
      </w:r>
      <w:r w:rsidRPr="00926363">
        <w:t xml:space="preserve"> between precision and recall, </w:t>
      </w:r>
      <w:r>
        <w:t xml:space="preserve">GIANA </w:t>
      </w:r>
      <w:r w:rsidRPr="00926363">
        <w:t>is evidently the superior model. It not only provides more reliable predictions but also captures a broader spectrum of positive instances</w:t>
      </w:r>
      <w:r w:rsidR="00EE214C">
        <w:t>. All this analysis was done using the Alpha+Beta chain of humans and mouse.</w:t>
      </w:r>
    </w:p>
    <w:p w14:paraId="060B740D" w14:textId="77777777" w:rsidR="00155486" w:rsidRDefault="00EE214C" w:rsidP="00556214">
      <w:r>
        <w:t xml:space="preserve">After </w:t>
      </w:r>
      <w:r w:rsidRPr="00EE214C">
        <w:t>establish</w:t>
      </w:r>
      <w:r>
        <w:t>ing</w:t>
      </w:r>
      <w:r w:rsidRPr="00EE214C">
        <w:t xml:space="preserve"> a reference point</w:t>
      </w:r>
      <w:r w:rsidR="00CE7508">
        <w:t>(baseline model)</w:t>
      </w:r>
      <w:r w:rsidRPr="00EE214C">
        <w:t xml:space="preserve"> for evaluating the performance</w:t>
      </w:r>
      <w:r w:rsidR="00CE7508">
        <w:t xml:space="preserve"> of our next model KNN. As we have already reduced the data with epitopes less then 5 representation.</w:t>
      </w:r>
    </w:p>
    <w:p w14:paraId="59C9EDED" w14:textId="77777777" w:rsidR="00155486" w:rsidRDefault="00CE7508" w:rsidP="00556214">
      <w:r>
        <w:t xml:space="preserve"> </w:t>
      </w:r>
      <w:r w:rsidR="00155486" w:rsidRPr="00155486">
        <w:t>KNN algorithm using TCRDist demonstrates a viable method for predicting T-cell receptor (TCR) epitope specificity, with distinct performances observed between human and mouse models. The model achieves an accuracy of 68.53% in humans and 82.84% in mice, indicating better performance with mouse TCR data. This discrepancy may be attributed to differences in immune system complexity, data quality, or TCR repertoires between species. While the results are promising, especially for mice, there is potential for further improvement in the algorithm's precision and accuracy, particularly for human data.</w:t>
      </w:r>
    </w:p>
    <w:p w14:paraId="10487000" w14:textId="091BC6FA" w:rsidR="00155486" w:rsidRDefault="005F541E" w:rsidP="00556214">
      <w:r w:rsidRPr="001919FB">
        <w:t xml:space="preserve">the GIANA framework to predict epitope specificity demonstrate significantly better performance in mice than in humans. For mice, the precision, recall, F1 score, and accuracy are notably high (0.82, 0.83, 0.82, and 0.83, respectively), indicating a robust ability of the model to accurately predict and correctly </w:t>
      </w:r>
      <w:r w:rsidRPr="001919FB">
        <w:lastRenderedPageBreak/>
        <w:t>identify true positives. In contrast, the results for humans show lower values across these metrics (0.52, 0.62, 0.55, and 0.62, respectively), suggesting challenges in the model's efficacy likely due to the complex nature of the human immune system</w:t>
      </w:r>
      <w:r>
        <w:t>.</w:t>
      </w:r>
    </w:p>
    <w:p w14:paraId="23FAFB36" w14:textId="77777777" w:rsidR="00155486" w:rsidRDefault="00155486" w:rsidP="00556214"/>
    <w:p w14:paraId="412E2C39" w14:textId="45FD5D8E" w:rsidR="00CE7508" w:rsidRDefault="00CE7508" w:rsidP="00556214">
      <w:r>
        <w:t xml:space="preserve">TCRDist </w:t>
      </w:r>
      <w:r w:rsidR="00543171">
        <w:t>using KNN- Humans</w:t>
      </w:r>
    </w:p>
    <w:p w14:paraId="53596968" w14:textId="77777777" w:rsidR="00543171" w:rsidRPr="00543171" w:rsidRDefault="00543171" w:rsidP="0054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543171">
        <w:rPr>
          <w:rFonts w:ascii="var(--jp-code-font-family)" w:eastAsia="Times New Roman" w:hAnsi="var(--jp-code-font-family)" w:cs="Courier New"/>
          <w:kern w:val="0"/>
          <w:sz w:val="20"/>
          <w:szCs w:val="20"/>
          <w14:ligatures w14:val="none"/>
        </w:rPr>
        <w:t>Results for K=5:</w:t>
      </w:r>
    </w:p>
    <w:p w14:paraId="282DA841" w14:textId="77777777" w:rsidR="00543171" w:rsidRPr="00543171" w:rsidRDefault="00543171" w:rsidP="0054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543171">
        <w:rPr>
          <w:rFonts w:ascii="var(--jp-code-font-family)" w:eastAsia="Times New Roman" w:hAnsi="var(--jp-code-font-family)" w:cs="Courier New"/>
          <w:kern w:val="0"/>
          <w:sz w:val="20"/>
          <w:szCs w:val="20"/>
          <w14:ligatures w14:val="none"/>
        </w:rPr>
        <w:t xml:space="preserve">  Accuracy: 0.6853</w:t>
      </w:r>
    </w:p>
    <w:p w14:paraId="7A9C878C" w14:textId="77777777" w:rsidR="00543171" w:rsidRPr="00543171" w:rsidRDefault="00543171" w:rsidP="0054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543171">
        <w:rPr>
          <w:rFonts w:ascii="var(--jp-code-font-family)" w:eastAsia="Times New Roman" w:hAnsi="var(--jp-code-font-family)" w:cs="Courier New"/>
          <w:kern w:val="0"/>
          <w:sz w:val="20"/>
          <w:szCs w:val="20"/>
          <w14:ligatures w14:val="none"/>
        </w:rPr>
        <w:t xml:space="preserve">  Precision: 0.6290</w:t>
      </w:r>
    </w:p>
    <w:p w14:paraId="62090011" w14:textId="77777777" w:rsidR="00543171" w:rsidRPr="00543171" w:rsidRDefault="00543171" w:rsidP="0054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543171">
        <w:rPr>
          <w:rFonts w:ascii="var(--jp-code-font-family)" w:eastAsia="Times New Roman" w:hAnsi="var(--jp-code-font-family)" w:cs="Courier New"/>
          <w:kern w:val="0"/>
          <w:sz w:val="20"/>
          <w:szCs w:val="20"/>
          <w14:ligatures w14:val="none"/>
        </w:rPr>
        <w:t xml:space="preserve">  Recall: 0.6853</w:t>
      </w:r>
    </w:p>
    <w:p w14:paraId="0E546FE9" w14:textId="77777777" w:rsidR="00543171" w:rsidRPr="00543171" w:rsidRDefault="00543171" w:rsidP="0054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543171">
        <w:rPr>
          <w:rFonts w:ascii="var(--jp-code-font-family)" w:eastAsia="Times New Roman" w:hAnsi="var(--jp-code-font-family)" w:cs="Courier New"/>
          <w:kern w:val="0"/>
          <w:sz w:val="20"/>
          <w:szCs w:val="20"/>
          <w14:ligatures w14:val="none"/>
        </w:rPr>
        <w:t xml:space="preserve">  F1 Score: 0.6488</w:t>
      </w:r>
    </w:p>
    <w:p w14:paraId="2C4738FD" w14:textId="77777777" w:rsidR="00543171" w:rsidRDefault="00543171" w:rsidP="00543171">
      <w:pPr>
        <w:pStyle w:val="HTMLPreformatted"/>
        <w:shd w:val="clear" w:color="auto" w:fill="FFFFFF"/>
        <w:wordWrap w:val="0"/>
        <w:rPr>
          <w:rFonts w:ascii="var(--jp-code-font-family)" w:hAnsi="var(--jp-code-font-family)"/>
        </w:rPr>
      </w:pPr>
    </w:p>
    <w:p w14:paraId="243CF888" w14:textId="3C78C7D3" w:rsidR="00543171" w:rsidRDefault="00E46DE9" w:rsidP="00543171">
      <w:pPr>
        <w:pStyle w:val="HTMLPreformatted"/>
        <w:shd w:val="clear" w:color="auto" w:fill="FFFFFF"/>
        <w:wordWrap w:val="0"/>
        <w:rPr>
          <w:rFonts w:ascii="var(--jp-code-font-family)" w:hAnsi="var(--jp-code-font-family)"/>
        </w:rPr>
      </w:pPr>
      <w:r w:rsidRPr="00E46DE9">
        <w:rPr>
          <w:rFonts w:ascii="var(--jp-code-font-family)" w:hAnsi="var(--jp-code-font-family)"/>
        </w:rPr>
        <w:drawing>
          <wp:inline distT="0" distB="0" distL="0" distR="0" wp14:anchorId="0096C897" wp14:editId="07440BC6">
            <wp:extent cx="5943600" cy="3486785"/>
            <wp:effectExtent l="0" t="0" r="0" b="0"/>
            <wp:docPr id="1645606574"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06574" name="Picture 1" descr="A graph of a line&#10;&#10;Description automatically generated with medium confidence"/>
                    <pic:cNvPicPr/>
                  </pic:nvPicPr>
                  <pic:blipFill>
                    <a:blip r:embed="rId8"/>
                    <a:stretch>
                      <a:fillRect/>
                    </a:stretch>
                  </pic:blipFill>
                  <pic:spPr>
                    <a:xfrm>
                      <a:off x="0" y="0"/>
                      <a:ext cx="5943600" cy="3486785"/>
                    </a:xfrm>
                    <a:prstGeom prst="rect">
                      <a:avLst/>
                    </a:prstGeom>
                  </pic:spPr>
                </pic:pic>
              </a:graphicData>
            </a:graphic>
          </wp:inline>
        </w:drawing>
      </w:r>
    </w:p>
    <w:p w14:paraId="5E49E9F6" w14:textId="366B81CD" w:rsidR="00543171" w:rsidRDefault="00543171" w:rsidP="00543171">
      <w:pPr>
        <w:pStyle w:val="HTMLPreformatted"/>
        <w:shd w:val="clear" w:color="auto" w:fill="FFFFFF"/>
        <w:wordWrap w:val="0"/>
        <w:rPr>
          <w:rFonts w:ascii="var(--jp-code-font-family)" w:hAnsi="var(--jp-code-font-family)"/>
        </w:rPr>
      </w:pPr>
      <w:r>
        <w:rPr>
          <w:rFonts w:ascii="var(--jp-code-font-family)" w:hAnsi="var(--jp-code-font-family)"/>
        </w:rPr>
        <w:t xml:space="preserve">TCRDist using KNN- Mouse </w:t>
      </w:r>
    </w:p>
    <w:p w14:paraId="3C6E0AF9" w14:textId="52172DEE" w:rsidR="00543171" w:rsidRDefault="00543171" w:rsidP="00543171">
      <w:pPr>
        <w:pStyle w:val="HTMLPreformatted"/>
        <w:shd w:val="clear" w:color="auto" w:fill="FFFFFF"/>
        <w:wordWrap w:val="0"/>
        <w:rPr>
          <w:rFonts w:ascii="var(--jp-code-font-family)" w:hAnsi="var(--jp-code-font-family)"/>
        </w:rPr>
      </w:pPr>
      <w:r>
        <w:rPr>
          <w:rFonts w:ascii="var(--jp-code-font-family)" w:hAnsi="var(--jp-code-font-family)"/>
        </w:rPr>
        <w:t>Results for K=5:</w:t>
      </w:r>
    </w:p>
    <w:p w14:paraId="64A7CA7F" w14:textId="77777777" w:rsidR="00543171" w:rsidRDefault="00543171" w:rsidP="00543171">
      <w:pPr>
        <w:pStyle w:val="HTMLPreformatted"/>
        <w:shd w:val="clear" w:color="auto" w:fill="FFFFFF"/>
        <w:wordWrap w:val="0"/>
        <w:rPr>
          <w:rFonts w:ascii="var(--jp-code-font-family)" w:hAnsi="var(--jp-code-font-family)"/>
        </w:rPr>
      </w:pPr>
      <w:r>
        <w:rPr>
          <w:rFonts w:ascii="var(--jp-code-font-family)" w:hAnsi="var(--jp-code-font-family)"/>
        </w:rPr>
        <w:t xml:space="preserve">  Accuracy: 0.8284</w:t>
      </w:r>
    </w:p>
    <w:p w14:paraId="14105463" w14:textId="77777777" w:rsidR="00543171" w:rsidRDefault="00543171" w:rsidP="00543171">
      <w:pPr>
        <w:pStyle w:val="HTMLPreformatted"/>
        <w:shd w:val="clear" w:color="auto" w:fill="FFFFFF"/>
        <w:wordWrap w:val="0"/>
        <w:rPr>
          <w:rFonts w:ascii="var(--jp-code-font-family)" w:hAnsi="var(--jp-code-font-family)"/>
        </w:rPr>
      </w:pPr>
      <w:r>
        <w:rPr>
          <w:rFonts w:ascii="var(--jp-code-font-family)" w:hAnsi="var(--jp-code-font-family)"/>
        </w:rPr>
        <w:t xml:space="preserve">  Precision: 0.8441</w:t>
      </w:r>
    </w:p>
    <w:p w14:paraId="5182232B" w14:textId="77777777" w:rsidR="00543171" w:rsidRDefault="00543171" w:rsidP="00543171">
      <w:pPr>
        <w:pStyle w:val="HTMLPreformatted"/>
        <w:shd w:val="clear" w:color="auto" w:fill="FFFFFF"/>
        <w:wordWrap w:val="0"/>
        <w:rPr>
          <w:rFonts w:ascii="var(--jp-code-font-family)" w:hAnsi="var(--jp-code-font-family)"/>
        </w:rPr>
      </w:pPr>
      <w:r>
        <w:rPr>
          <w:rFonts w:ascii="var(--jp-code-font-family)" w:hAnsi="var(--jp-code-font-family)"/>
        </w:rPr>
        <w:t xml:space="preserve">  Recall: 0.8284</w:t>
      </w:r>
    </w:p>
    <w:p w14:paraId="088C1439" w14:textId="77777777" w:rsidR="00543171" w:rsidRDefault="00543171" w:rsidP="00543171">
      <w:pPr>
        <w:pStyle w:val="HTMLPreformatted"/>
        <w:shd w:val="clear" w:color="auto" w:fill="FFFFFF"/>
        <w:wordWrap w:val="0"/>
        <w:rPr>
          <w:rFonts w:ascii="var(--jp-code-font-family)" w:hAnsi="var(--jp-code-font-family)"/>
        </w:rPr>
      </w:pPr>
      <w:r>
        <w:rPr>
          <w:rFonts w:ascii="var(--jp-code-font-family)" w:hAnsi="var(--jp-code-font-family)"/>
        </w:rPr>
        <w:t xml:space="preserve">  F1 Score: 0.8303</w:t>
      </w:r>
    </w:p>
    <w:p w14:paraId="5DEB57C0" w14:textId="46CD4257" w:rsidR="00493DD8" w:rsidRDefault="00493DD8" w:rsidP="00543171">
      <w:pPr>
        <w:pStyle w:val="HTMLPreformatted"/>
        <w:shd w:val="clear" w:color="auto" w:fill="FFFFFF"/>
        <w:wordWrap w:val="0"/>
        <w:rPr>
          <w:rFonts w:ascii="var(--jp-code-font-family)" w:hAnsi="var(--jp-code-font-family)"/>
        </w:rPr>
      </w:pPr>
      <w:r w:rsidRPr="00493DD8">
        <w:rPr>
          <w:rFonts w:ascii="var(--jp-code-font-family)" w:hAnsi="var(--jp-code-font-family)"/>
        </w:rPr>
        <w:lastRenderedPageBreak/>
        <w:drawing>
          <wp:inline distT="0" distB="0" distL="0" distR="0" wp14:anchorId="4B76CB9C" wp14:editId="7D2FBCF2">
            <wp:extent cx="5943600" cy="3468370"/>
            <wp:effectExtent l="0" t="0" r="0" b="0"/>
            <wp:docPr id="152058158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81581" name="Picture 1" descr="A graph of a graph&#10;&#10;Description automatically generated with medium confidence"/>
                    <pic:cNvPicPr/>
                  </pic:nvPicPr>
                  <pic:blipFill>
                    <a:blip r:embed="rId9"/>
                    <a:stretch>
                      <a:fillRect/>
                    </a:stretch>
                  </pic:blipFill>
                  <pic:spPr>
                    <a:xfrm>
                      <a:off x="0" y="0"/>
                      <a:ext cx="5943600" cy="3468370"/>
                    </a:xfrm>
                    <a:prstGeom prst="rect">
                      <a:avLst/>
                    </a:prstGeom>
                  </pic:spPr>
                </pic:pic>
              </a:graphicData>
            </a:graphic>
          </wp:inline>
        </w:drawing>
      </w:r>
    </w:p>
    <w:p w14:paraId="42FA5F59" w14:textId="77777777" w:rsidR="00E46DE9" w:rsidRDefault="00E46DE9" w:rsidP="00543171">
      <w:pPr>
        <w:pStyle w:val="HTMLPreformatted"/>
        <w:shd w:val="clear" w:color="auto" w:fill="FFFFFF"/>
        <w:wordWrap w:val="0"/>
        <w:rPr>
          <w:rFonts w:ascii="var(--jp-code-font-family)" w:hAnsi="var(--jp-code-font-family)"/>
        </w:rPr>
      </w:pPr>
    </w:p>
    <w:p w14:paraId="27D5C07E" w14:textId="77777777" w:rsidR="00E46DE9" w:rsidRDefault="00E46DE9" w:rsidP="00543171">
      <w:pPr>
        <w:pStyle w:val="HTMLPreformatted"/>
        <w:shd w:val="clear" w:color="auto" w:fill="FFFFFF"/>
        <w:wordWrap w:val="0"/>
        <w:rPr>
          <w:rFonts w:ascii="var(--jp-code-font-family)" w:hAnsi="var(--jp-code-font-family)"/>
        </w:rPr>
      </w:pPr>
    </w:p>
    <w:p w14:paraId="6A9AF975" w14:textId="77777777" w:rsidR="00543171" w:rsidRDefault="00543171" w:rsidP="00543171"/>
    <w:p w14:paraId="4558AE9C" w14:textId="03A8A1DD" w:rsidR="00543171" w:rsidRDefault="00155486" w:rsidP="00543171">
      <w:r>
        <w:t>GIANA using KNN- humans</w:t>
      </w:r>
    </w:p>
    <w:p w14:paraId="2687D40C" w14:textId="77777777" w:rsidR="00155486" w:rsidRDefault="00155486" w:rsidP="00155486">
      <w:r>
        <w:t>Precision: 0.52</w:t>
      </w:r>
    </w:p>
    <w:p w14:paraId="43DE96F1" w14:textId="77777777" w:rsidR="00155486" w:rsidRDefault="00155486" w:rsidP="00155486">
      <w:r>
        <w:t>Recall: 0.62</w:t>
      </w:r>
    </w:p>
    <w:p w14:paraId="6DDD4A3F" w14:textId="77777777" w:rsidR="001919FB" w:rsidRDefault="00155486" w:rsidP="00155486">
      <w:r>
        <w:t>F1 Score: 0.55</w:t>
      </w:r>
    </w:p>
    <w:p w14:paraId="1FFF9181" w14:textId="45E90C03" w:rsidR="00155486" w:rsidRDefault="00155486" w:rsidP="00155486">
      <w:r>
        <w:t xml:space="preserve">Accuracy: </w:t>
      </w:r>
      <w:r w:rsidR="001919FB">
        <w:t>0.62</w:t>
      </w:r>
    </w:p>
    <w:p w14:paraId="4B69038F" w14:textId="77777777" w:rsidR="001919FB" w:rsidRDefault="001919FB" w:rsidP="00155486"/>
    <w:p w14:paraId="776B40F9" w14:textId="3E7A08E4" w:rsidR="001919FB" w:rsidRDefault="001919FB" w:rsidP="001919FB">
      <w:r>
        <w:t xml:space="preserve">GIANA using KNN- </w:t>
      </w:r>
      <w:r>
        <w:t>mice</w:t>
      </w:r>
    </w:p>
    <w:p w14:paraId="68A89275" w14:textId="5DA6D859" w:rsidR="001919FB" w:rsidRDefault="001919FB" w:rsidP="001919FB">
      <w:r>
        <w:t xml:space="preserve">Precision: </w:t>
      </w:r>
      <w:r w:rsidRPr="001919FB">
        <w:t>0.82</w:t>
      </w:r>
    </w:p>
    <w:p w14:paraId="2607720A" w14:textId="7FFD80DD" w:rsidR="001919FB" w:rsidRDefault="001919FB" w:rsidP="001919FB">
      <w:r>
        <w:t xml:space="preserve">Recall: </w:t>
      </w:r>
      <w:r w:rsidRPr="001919FB">
        <w:t>0.83</w:t>
      </w:r>
    </w:p>
    <w:p w14:paraId="06AEB3D1" w14:textId="21174F1C" w:rsidR="001919FB" w:rsidRDefault="001919FB" w:rsidP="001919FB">
      <w:r>
        <w:t xml:space="preserve">F1 Score: </w:t>
      </w:r>
      <w:r w:rsidRPr="001919FB">
        <w:t>0.82</w:t>
      </w:r>
    </w:p>
    <w:p w14:paraId="773505A8" w14:textId="4FB8253D" w:rsidR="001919FB" w:rsidRDefault="001919FB" w:rsidP="001919FB">
      <w:r>
        <w:t xml:space="preserve">Accuracy: </w:t>
      </w:r>
      <w:r w:rsidRPr="001919FB">
        <w:t>0.83</w:t>
      </w:r>
    </w:p>
    <w:p w14:paraId="28EF17A8" w14:textId="77777777" w:rsidR="001919FB" w:rsidRDefault="001919FB" w:rsidP="00155486"/>
    <w:p w14:paraId="4F9AB2C6" w14:textId="183E483A" w:rsidR="005F541E" w:rsidRDefault="005F541E" w:rsidP="005F541E">
      <w:r>
        <w:t>T</w:t>
      </w:r>
      <w:r w:rsidRPr="005F541E">
        <w:t>he assertion that TCRDist is more suited for human TCR data analysis due to its higher precision, recall, F1, and accuracy scores.</w:t>
      </w:r>
      <w:r>
        <w:t xml:space="preserve"> </w:t>
      </w:r>
      <w:r>
        <w:t xml:space="preserve">Meanwhile, both GIANA and TCRDist deliver comparably high performance for mouse data, which supports the use of either algorithm when working with mice in predicting TCR </w:t>
      </w:r>
      <w:r>
        <w:lastRenderedPageBreak/>
        <w:t>epitope specificity using KNN. This balance highlights the need to select an algorithm based on specific performance strengths relevant to the species and data characteristics.</w:t>
      </w:r>
    </w:p>
    <w:p w14:paraId="61485357" w14:textId="7DC4079E" w:rsidR="007A499E" w:rsidRDefault="007A499E" w:rsidP="005F541E">
      <w:r>
        <w:t>Cluster Similarity Explanation:</w:t>
      </w:r>
    </w:p>
    <w:p w14:paraId="1F031461" w14:textId="023FB67C" w:rsidR="007A499E" w:rsidRDefault="007A499E" w:rsidP="005F541E">
      <w:r>
        <w:t xml:space="preserve">From cluster 1, lets examine 2 most similar epitopes and its biological references </w:t>
      </w:r>
    </w:p>
    <w:p w14:paraId="48153127" w14:textId="77777777" w:rsidR="007A499E" w:rsidRDefault="007A499E" w:rsidP="007A499E">
      <w:r>
        <w:t>antigen.species : EBV with epitope RAKFKQLL</w:t>
      </w:r>
    </w:p>
    <w:p w14:paraId="56B7C5E8" w14:textId="700B72CB" w:rsidR="007A499E" w:rsidRDefault="007A499E" w:rsidP="007A499E">
      <w:r>
        <w:t>antigen.species: InfluenzaA with PKYVKQNTLKLAT</w:t>
      </w:r>
    </w:p>
    <w:p w14:paraId="0EF206CE" w14:textId="64652FE8" w:rsidR="007A499E" w:rsidRDefault="007A499E" w:rsidP="005F541E">
      <w:r w:rsidRPr="007A499E">
        <w:t>Both epitopes are short peptides made of standard amino acids for T cell recognition, despite differing in length and sequence. Alignment algorithms like Biopython's pairwise2 module compare them effectively, utilizing scoring matrices such as BLOSUM or PAM to assess similarity based on evolutionary factors. Consistent scores in alignments imply syntactic similarity, reflecting comparable biochemical properties of the amino acids involved.</w:t>
      </w:r>
      <w:r>
        <w:t xml:space="preserve"> </w:t>
      </w:r>
    </w:p>
    <w:p w14:paraId="36907A0A" w14:textId="5926A89D" w:rsidR="00676F98" w:rsidRDefault="00676F98" w:rsidP="00676F98">
      <w:r>
        <w:t>The specific epitopes RAKFKQLL from Epstein-Barr Virus (EBV) and PKYVKQNTLKLAT from Influenza A are critical to the immune system's surveillance mechanisms. These epitopes are central to the peptides presented by Major Histocompatibility Complex (MHC) molecules to T cells, a process essential for the immune system's ability to recognize and eliminate cells infected by these pathogens. This interaction prompts the activation of T cell receptors (TCRs), leading to the proliferation and differentiation of T cells into effector cells that target and destroy the infected cells. This pathway is pivotal not only for resolving the current infection but also for establishing TCR specificity and immunological memory, thereby enhancing protection against future infections by the same viruses.</w:t>
      </w:r>
    </w:p>
    <w:p w14:paraId="2E957A4E" w14:textId="5FA68F72" w:rsidR="00676F98" w:rsidRDefault="00676F98" w:rsidP="00676F98">
      <w:r>
        <w:t>Both EBV and Influenza A can elicit a strong memory immune response, facilitating long-term immunity through T cells that are specific to their respective epitopes. This specificity results in rapid and efficient immune responses upon re-exposure to the pathogens. Furthermore, structural similarities between certain epitopes of EBV and Influenza A, as identified through bioinformatic analyses, may lead to cross-reactivity. Here, T cells specific to one virus may recognize and respond to analogous epitopes from the other virus. Although this phenomenon could potentially enhance immune responsiveness, it also poses a risk of autoimmune reactions or diminished effectiveness due to misdirected immune responses. The functional significance of these viral epitopes in mediating immune recognition and response is thus crucial for the management of infections and for the development and maintenance of immunological memory.</w:t>
      </w:r>
    </w:p>
    <w:p w14:paraId="2DB1D0C5" w14:textId="71246244" w:rsidR="00676F98" w:rsidRDefault="00676F98" w:rsidP="00676F98">
      <w:r w:rsidRPr="00676F98">
        <w:t>the epitopes from EBV and Influenza A, despite being from different viruses, function similarly by mediating the recognition of infected cells by T cells and triggering specific immune responses. These processes are crucial for controlling infections and for the development of immunological memory, which protects against future infections.</w:t>
      </w:r>
    </w:p>
    <w:p w14:paraId="7CC92653" w14:textId="77777777" w:rsidR="005F541E" w:rsidRDefault="005F541E" w:rsidP="005F541E"/>
    <w:p w14:paraId="4BD03A88" w14:textId="77777777" w:rsidR="005F541E" w:rsidRDefault="005F541E" w:rsidP="005F541E"/>
    <w:p w14:paraId="0E626154" w14:textId="77777777" w:rsidR="005F541E" w:rsidRDefault="005F541E" w:rsidP="005F541E"/>
    <w:p w14:paraId="6F3C98E6" w14:textId="77777777" w:rsidR="005F541E" w:rsidRDefault="005F541E" w:rsidP="005F541E"/>
    <w:p w14:paraId="02C2910A" w14:textId="77777777" w:rsidR="005F541E" w:rsidRDefault="005F541E" w:rsidP="005F541E"/>
    <w:p w14:paraId="55B640AB" w14:textId="7D42EC3E" w:rsidR="00543171" w:rsidRDefault="00543171" w:rsidP="00543171"/>
    <w:sectPr w:rsidR="0054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32"/>
    <w:rsid w:val="000D021B"/>
    <w:rsid w:val="00155486"/>
    <w:rsid w:val="00187FB2"/>
    <w:rsid w:val="001919FB"/>
    <w:rsid w:val="001A1331"/>
    <w:rsid w:val="002D7242"/>
    <w:rsid w:val="00493DD8"/>
    <w:rsid w:val="00543171"/>
    <w:rsid w:val="00556214"/>
    <w:rsid w:val="005E2F32"/>
    <w:rsid w:val="005F541E"/>
    <w:rsid w:val="00643D32"/>
    <w:rsid w:val="006566E5"/>
    <w:rsid w:val="00676F98"/>
    <w:rsid w:val="00696C99"/>
    <w:rsid w:val="0070032E"/>
    <w:rsid w:val="00751734"/>
    <w:rsid w:val="007A499E"/>
    <w:rsid w:val="007B1606"/>
    <w:rsid w:val="00843E0A"/>
    <w:rsid w:val="00926363"/>
    <w:rsid w:val="00986764"/>
    <w:rsid w:val="009C6C47"/>
    <w:rsid w:val="00A16888"/>
    <w:rsid w:val="00B04067"/>
    <w:rsid w:val="00CE7508"/>
    <w:rsid w:val="00D65561"/>
    <w:rsid w:val="00E46DE9"/>
    <w:rsid w:val="00E63854"/>
    <w:rsid w:val="00EE214C"/>
    <w:rsid w:val="00EF48F3"/>
    <w:rsid w:val="00F15EA5"/>
    <w:rsid w:val="00F71D5C"/>
    <w:rsid w:val="00FC17D9"/>
    <w:rsid w:val="00FE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1067"/>
  <w15:chartTrackingRefBased/>
  <w15:docId w15:val="{2969D5C3-8384-4078-92DD-741F4E4F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067"/>
    <w:rPr>
      <w:color w:val="0563C1" w:themeColor="hyperlink"/>
      <w:u w:val="single"/>
    </w:rPr>
  </w:style>
  <w:style w:type="character" w:styleId="UnresolvedMention">
    <w:name w:val="Unresolved Mention"/>
    <w:basedOn w:val="DefaultParagraphFont"/>
    <w:uiPriority w:val="99"/>
    <w:semiHidden/>
    <w:unhideWhenUsed/>
    <w:rsid w:val="00B04067"/>
    <w:rPr>
      <w:color w:val="605E5C"/>
      <w:shd w:val="clear" w:color="auto" w:fill="E1DFDD"/>
    </w:rPr>
  </w:style>
  <w:style w:type="paragraph" w:styleId="HTMLPreformatted">
    <w:name w:val="HTML Preformatted"/>
    <w:basedOn w:val="Normal"/>
    <w:link w:val="HTMLPreformattedChar"/>
    <w:uiPriority w:val="99"/>
    <w:semiHidden/>
    <w:unhideWhenUsed/>
    <w:rsid w:val="00543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317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770844">
      <w:bodyDiv w:val="1"/>
      <w:marLeft w:val="0"/>
      <w:marRight w:val="0"/>
      <w:marTop w:val="0"/>
      <w:marBottom w:val="0"/>
      <w:divBdr>
        <w:top w:val="none" w:sz="0" w:space="0" w:color="auto"/>
        <w:left w:val="none" w:sz="0" w:space="0" w:color="auto"/>
        <w:bottom w:val="none" w:sz="0" w:space="0" w:color="auto"/>
        <w:right w:val="none" w:sz="0" w:space="0" w:color="auto"/>
      </w:divBdr>
    </w:div>
    <w:div w:id="1432630093">
      <w:bodyDiv w:val="1"/>
      <w:marLeft w:val="0"/>
      <w:marRight w:val="0"/>
      <w:marTop w:val="0"/>
      <w:marBottom w:val="0"/>
      <w:divBdr>
        <w:top w:val="none" w:sz="0" w:space="0" w:color="auto"/>
        <w:left w:val="none" w:sz="0" w:space="0" w:color="auto"/>
        <w:bottom w:val="none" w:sz="0" w:space="0" w:color="auto"/>
        <w:right w:val="none" w:sz="0" w:space="0" w:color="auto"/>
      </w:divBdr>
    </w:div>
    <w:div w:id="1836647482">
      <w:bodyDiv w:val="1"/>
      <w:marLeft w:val="0"/>
      <w:marRight w:val="0"/>
      <w:marTop w:val="0"/>
      <w:marBottom w:val="0"/>
      <w:divBdr>
        <w:top w:val="none" w:sz="0" w:space="0" w:color="auto"/>
        <w:left w:val="none" w:sz="0" w:space="0" w:color="auto"/>
        <w:bottom w:val="none" w:sz="0" w:space="0" w:color="auto"/>
        <w:right w:val="none" w:sz="0" w:space="0" w:color="auto"/>
      </w:divBdr>
    </w:div>
    <w:div w:id="190343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link.springer.com/content/pdf/10.1007/s10472-023-09882-x.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9</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Kumar Muthunarasiman</dc:creator>
  <cp:keywords/>
  <dc:description/>
  <cp:lastModifiedBy>Sharan Kumar Muthunarasiman</cp:lastModifiedBy>
  <cp:revision>17</cp:revision>
  <dcterms:created xsi:type="dcterms:W3CDTF">2024-04-29T00:09:00Z</dcterms:created>
  <dcterms:modified xsi:type="dcterms:W3CDTF">2024-05-02T01:58:00Z</dcterms:modified>
</cp:coreProperties>
</file>