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Potential trading strategies:</w:t>
      </w:r>
    </w:p>
    <w:p/>
    <w:p>
      <w:pPr>
        <w:rPr>
          <w:rFonts w:hint="eastAsia"/>
        </w:rPr>
      </w:pPr>
      <w:r>
        <w:fldChar w:fldCharType="begin"/>
      </w:r>
      <w:r>
        <w:instrText xml:space="preserve"> HYPERLINK "https://www.mdpi.com/2078-2489/15/3/136" </w:instrText>
      </w:r>
      <w:r>
        <w:fldChar w:fldCharType="separate"/>
      </w:r>
      <w:r>
        <w:rPr>
          <w:rStyle w:val="5"/>
        </w:rPr>
        <w:t>https://www.mdpi.com/2078-2489/15/3/136</w:t>
      </w:r>
      <w:r>
        <w:rPr>
          <w:rStyle w:val="5"/>
        </w:rPr>
        <w:fldChar w:fldCharType="end"/>
      </w:r>
    </w:p>
    <w:p>
      <w:pPr>
        <w:rPr>
          <w:rFonts w:hint="eastAsia"/>
        </w:rPr>
      </w:pPr>
    </w:p>
    <w:p>
      <w:pPr>
        <w:rPr>
          <w:rFonts w:hint="eastAsia"/>
        </w:rPr>
      </w:pPr>
      <w:r>
        <w:rPr>
          <w:rFonts w:hint="eastAsia"/>
        </w:rPr>
        <w:t>1. The P-MA (price minus moving average) strategy is a trading rule that uses moving averages to identify the direction of market trends. The basic idea behind the rule is based on the lagging nature of moving averages. When the stock price is trending up, the moving average is lower than the price. Conversely, when the stock is trending down, the moving average is above the price. The strategy suggests that a potential buy signal is generated when the last closing price is above the moving average. Conversely, when the final closing price is below the moving average, a potential sell signal is generated. In practice, traders often use the SMA (Simple Moving Average) as the moving average in this rule.</w:t>
      </w:r>
    </w:p>
    <w:p>
      <w:pPr>
        <w:rPr>
          <w:rFonts w:hint="eastAsia"/>
        </w:rPr>
      </w:pPr>
    </w:p>
    <w:p>
      <w:pPr>
        <w:rPr>
          <w:rFonts w:hint="eastAsia"/>
        </w:rPr>
      </w:pPr>
      <w:r>
        <w:rPr>
          <w:rFonts w:hint="eastAsia"/>
        </w:rPr>
        <w:t>2. The Momentum (MOM) strategy is a basic market strategy that compares the current closing price to the closing price of the previous period. The strategy assumes that the current market trend will continue, either up or down. The strategy suggests that if the current closing price is higher than the previous period's closing price, n-1, there is a possibility of a continuation of the uptrend; therefore, a buy signal is generated. On the other hand, if the closing price is lower, it may indicate that the downtrend is likely to continue, thus generating a sell signal.</w:t>
      </w:r>
    </w:p>
    <w:p>
      <w:pPr>
        <w:rPr>
          <w:rFonts w:hint="eastAsia"/>
        </w:rPr>
      </w:pPr>
    </w:p>
    <w:p>
      <w:pPr>
        <w:numPr>
          <w:ilvl w:val="0"/>
          <w:numId w:val="1"/>
        </w:numPr>
        <w:rPr>
          <w:rFonts w:hint="eastAsia"/>
        </w:rPr>
      </w:pPr>
      <w:r>
        <w:rPr>
          <w:rFonts w:hint="eastAsia"/>
        </w:rPr>
        <w:t>Double Moving Average Strategy</w:t>
      </w:r>
    </w:p>
    <w:p>
      <w:pPr>
        <w:numPr>
          <w:numId w:val="0"/>
        </w:numPr>
        <w:rPr>
          <w:rFonts w:hint="eastAsia"/>
        </w:rPr>
      </w:pPr>
      <w:r>
        <w:fldChar w:fldCharType="begin"/>
      </w:r>
      <w:r>
        <w:instrText xml:space="preserve"> HYPERLINK "https://ieeexplore.ieee.org/abstract/document/9115114" </w:instrText>
      </w:r>
      <w:r>
        <w:fldChar w:fldCharType="separate"/>
      </w:r>
      <w:r>
        <w:rPr>
          <w:rStyle w:val="5"/>
          <w:rFonts w:ascii="Arial" w:hAnsi="Arial" w:cs="Arial" w:eastAsiaTheme="minorEastAsia"/>
          <w:b w:val="0"/>
          <w:bCs w:val="0"/>
          <w:sz w:val="20"/>
          <w:szCs w:val="20"/>
          <w:shd w:val="clear" w:color="auto" w:fill="FFFFFF"/>
        </w:rPr>
        <w:t>https://ieeexplore.ieee.org/abstract/document/9115114</w:t>
      </w:r>
      <w:r>
        <w:rPr>
          <w:rStyle w:val="5"/>
          <w:rFonts w:ascii="Arial" w:hAnsi="Arial" w:cs="Arial" w:eastAsiaTheme="minorEastAsia"/>
          <w:b w:val="0"/>
          <w:bCs w:val="0"/>
          <w:sz w:val="20"/>
          <w:szCs w:val="20"/>
          <w:shd w:val="clear" w:color="auto" w:fill="FFFFFF"/>
        </w:rPr>
        <w:fldChar w:fldCharType="end"/>
      </w:r>
    </w:p>
    <w:p>
      <w:pPr>
        <w:rPr>
          <w:rFonts w:hint="eastAsia"/>
        </w:rPr>
      </w:pPr>
      <w:r>
        <w:rPr>
          <w:rFonts w:hint="eastAsia"/>
        </w:rPr>
        <w:t>The Double SMA strategy mainly reflects the current market conditions by selecting two data lines at different time periods and determining whether shareholders should buy or sell based on the golden crosses and dead crosses. When a golden cross appears on a double SMA, it indicates that the stock is very strong and vice versa, so shareholders will buy based on the golden cross and sell a portion of the stock when a dead cross appears. For each trading day, moving averages can be calculated for the previous n days and then these moving averages can be joined together to form a line called the N-day moving average.</w:t>
      </w:r>
    </w:p>
    <w:p>
      <w:pPr>
        <w:rPr>
          <w:rFonts w:hint="eastAsia"/>
        </w:rPr>
      </w:pPr>
    </w:p>
    <w:p>
      <w:pPr>
        <w:numPr>
          <w:ilvl w:val="0"/>
          <w:numId w:val="1"/>
        </w:numPr>
        <w:ind w:left="0" w:leftChars="0" w:firstLine="0" w:firstLineChars="0"/>
        <w:rPr>
          <w:rFonts w:hint="eastAsia"/>
        </w:rPr>
      </w:pPr>
      <w:r>
        <w:rPr>
          <w:rFonts w:hint="eastAsia"/>
        </w:rPr>
        <w:t>simple moving average strategy (SMA)</w:t>
      </w:r>
    </w:p>
    <w:p>
      <w:pPr>
        <w:numPr>
          <w:numId w:val="0"/>
        </w:numPr>
        <w:ind w:leftChars="0"/>
        <w:rPr>
          <w:rFonts w:hint="eastAsia"/>
        </w:rPr>
      </w:pPr>
      <w:bookmarkStart w:id="0" w:name="_GoBack"/>
      <w:bookmarkEnd w:id="0"/>
    </w:p>
    <w:p>
      <w:pPr>
        <w:shd w:val="clear" w:color="auto" w:fill="FFFFFF"/>
        <w:spacing w:before="0" w:beforeAutospacing="0" w:after="360" w:afterAutospacing="0" w:line="240" w:lineRule="auto"/>
        <w:rPr>
          <w:rFonts w:ascii="Arial" w:hAnsi="Arial" w:eastAsia="等线" w:cs="Arial"/>
          <w:color w:val="222222"/>
          <w:sz w:val="20"/>
          <w:szCs w:val="20"/>
          <w:shd w:val="clear" w:color="auto" w:fill="FFFFFF"/>
          <w:lang w:val="en-GB" w:eastAsia="zh-CN" w:bidi="ar-SA"/>
        </w:rPr>
      </w:pPr>
      <w:r>
        <w:rPr>
          <w:rFonts w:ascii="Times New Roman" w:hAnsi="Times New Roman" w:eastAsia="Times New Roman" w:cs="Times New Roman"/>
          <w:sz w:val="24"/>
          <w:szCs w:val="24"/>
          <w:lang w:val="en-GB" w:eastAsia="zh-CN" w:bidi="ar-SA"/>
        </w:rPr>
        <w:fldChar w:fldCharType="begin"/>
      </w:r>
      <w:r>
        <w:rPr>
          <w:rFonts w:ascii="Times New Roman" w:hAnsi="Times New Roman" w:eastAsia="Times New Roman" w:cs="Times New Roman"/>
          <w:sz w:val="24"/>
          <w:szCs w:val="24"/>
          <w:lang w:val="en-GB" w:eastAsia="zh-CN" w:bidi="ar-SA"/>
        </w:rPr>
        <w:instrText xml:space="preserve"> HYPERLINK "https://www.jatit.org/volumes/Vol100No15/26Vol100No15.pdf" </w:instrText>
      </w:r>
      <w:r>
        <w:rPr>
          <w:rFonts w:ascii="Times New Roman" w:hAnsi="Times New Roman" w:eastAsia="Times New Roman" w:cs="Times New Roman"/>
          <w:sz w:val="24"/>
          <w:szCs w:val="24"/>
          <w:lang w:val="en-GB" w:eastAsia="zh-CN" w:bidi="ar-SA"/>
        </w:rPr>
        <w:fldChar w:fldCharType="separate"/>
      </w:r>
      <w:r>
        <w:rPr>
          <w:rFonts w:ascii="Arial" w:hAnsi="Arial" w:eastAsia="等线" w:cs="Arial"/>
          <w:color w:val="0000FF"/>
          <w:sz w:val="20"/>
          <w:szCs w:val="20"/>
          <w:u w:val="single"/>
          <w:shd w:val="clear" w:color="auto" w:fill="FFFFFF"/>
          <w:lang w:val="en-GB" w:eastAsia="zh-CN" w:bidi="ar-SA"/>
        </w:rPr>
        <w:t>https://www.jatit.org/volumes/Vol100No15/26Vol100No15.pdf</w:t>
      </w:r>
      <w:r>
        <w:rPr>
          <w:rFonts w:ascii="Arial" w:hAnsi="Arial" w:eastAsia="等线" w:cs="Arial"/>
          <w:color w:val="0000FF"/>
          <w:sz w:val="20"/>
          <w:szCs w:val="20"/>
          <w:u w:val="single"/>
          <w:shd w:val="clear" w:color="auto" w:fill="FFFFFF"/>
          <w:lang w:val="en-GB" w:eastAsia="zh-CN" w:bidi="ar-SA"/>
        </w:rPr>
        <w:fldChar w:fldCharType="end"/>
      </w:r>
    </w:p>
    <w:p>
      <w:pPr>
        <w:numPr>
          <w:numId w:val="0"/>
        </w:numPr>
        <w:ind w:leftChars="0"/>
        <w:rPr>
          <w:rFonts w:hint="eastAsia"/>
        </w:rPr>
      </w:pPr>
      <w:r>
        <w:rPr>
          <w:rFonts w:ascii="Times New Roman" w:hAnsi="Times New Roman" w:eastAsia="Times New Roman" w:cs="Times New Roman"/>
          <w:sz w:val="24"/>
          <w:szCs w:val="24"/>
          <w:lang w:val="en-GB" w:eastAsia="zh-CN" w:bidi="ar-SA"/>
        </w:rPr>
        <w:fldChar w:fldCharType="begin"/>
      </w:r>
      <w:r>
        <w:rPr>
          <w:rFonts w:ascii="Times New Roman" w:hAnsi="Times New Roman" w:eastAsia="Times New Roman" w:cs="Times New Roman"/>
          <w:sz w:val="24"/>
          <w:szCs w:val="24"/>
          <w:lang w:val="en-GB" w:eastAsia="zh-CN" w:bidi="ar-SA"/>
        </w:rPr>
        <w:instrText xml:space="preserve"> HYPERLINK "https://www.sciencedirect.com/science/article/pii/S0957417422022254" </w:instrText>
      </w:r>
      <w:r>
        <w:rPr>
          <w:rFonts w:ascii="Times New Roman" w:hAnsi="Times New Roman" w:eastAsia="Times New Roman" w:cs="Times New Roman"/>
          <w:sz w:val="24"/>
          <w:szCs w:val="24"/>
          <w:lang w:val="en-GB" w:eastAsia="zh-CN" w:bidi="ar-SA"/>
        </w:rPr>
        <w:fldChar w:fldCharType="separate"/>
      </w:r>
      <w:r>
        <w:rPr>
          <w:rFonts w:ascii="Calibri" w:hAnsi="Calibri" w:eastAsia="等线" w:cs="Times New Roman"/>
          <w:color w:val="0000FF"/>
          <w:sz w:val="24"/>
          <w:szCs w:val="24"/>
          <w:u w:val="single"/>
          <w:lang w:val="en-GB" w:eastAsia="zh-CN" w:bidi="ar-SA"/>
        </w:rPr>
        <w:t>https://www.sciencedirect.com/science/article/pii/S0957417422022254</w:t>
      </w:r>
      <w:r>
        <w:rPr>
          <w:rFonts w:ascii="Calibri" w:hAnsi="Calibri" w:eastAsia="等线" w:cs="Times New Roman"/>
          <w:color w:val="0000FF"/>
          <w:sz w:val="24"/>
          <w:szCs w:val="24"/>
          <w:u w:val="single"/>
          <w:lang w:val="en-GB" w:eastAsia="zh-CN" w:bidi="ar-S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91F70"/>
    <w:multiLevelType w:val="singleLevel"/>
    <w:tmpl w:val="B7F91F7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67FF3C"/>
    <w:rsid w:val="DF67F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2024-04-24T20:39:00Z</dcterms:created>
  <dc:creator>Shu Li</dc:creator>
  <cp:lastModifiedBy>Shu Li</cp:lastModifiedBy>
  <dcterms:modified xsi:type="dcterms:W3CDTF">2024-04-24T20:47:23Z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