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371" w:rsidRDefault="006B004F">
      <w:r>
        <w:t>Report</w:t>
      </w:r>
    </w:p>
    <w:p w:rsidR="006B004F" w:rsidRDefault="006B004F">
      <w:r>
        <w:t>Music background</w:t>
      </w:r>
    </w:p>
    <w:p w:rsidR="00A8724D" w:rsidRDefault="00A8724D">
      <w:r>
        <w:t>In m</w:t>
      </w:r>
      <w:r w:rsidR="00B67D06">
        <w:t>usic a specific set of frequencies called notes</w:t>
      </w:r>
      <w:r>
        <w:t xml:space="preserve"> are used</w:t>
      </w:r>
      <w:r w:rsidR="00B67D06">
        <w:t xml:space="preserve"> which </w:t>
      </w:r>
      <w:r>
        <w:t>follow the sequence</w:t>
      </w:r>
      <w:r w:rsidR="003B2F25">
        <w:t xml:space="preserve"> CDEFGABC</w:t>
      </w:r>
      <w:r>
        <w:t xml:space="preserve">. For example </w:t>
      </w:r>
      <w:r w:rsidR="003B2F25">
        <w:t>this start</w:t>
      </w:r>
      <w:r>
        <w:t>ed</w:t>
      </w:r>
      <w:r w:rsidR="003B2F25">
        <w:t xml:space="preserve"> at C</w:t>
      </w:r>
      <w:r w:rsidR="004535DB">
        <w:t>1</w:t>
      </w:r>
      <w:r>
        <w:t xml:space="preserve"> it would end</w:t>
      </w:r>
      <w:r w:rsidR="003B2F25">
        <w:t xml:space="preserve"> C</w:t>
      </w:r>
      <w:r w:rsidR="004535DB">
        <w:t>2</w:t>
      </w:r>
      <w:r w:rsidR="004535DB" w:rsidRPr="004535DB">
        <w:t xml:space="preserve"> </w:t>
      </w:r>
      <w:r>
        <w:t>which would have</w:t>
      </w:r>
      <w:r w:rsidR="004535DB">
        <w:t xml:space="preserve"> a </w:t>
      </w:r>
      <w:r>
        <w:t xml:space="preserve">double the </w:t>
      </w:r>
      <w:r w:rsidR="004535DB">
        <w:t>frequency</w:t>
      </w:r>
      <w:r w:rsidR="004535DB">
        <w:t xml:space="preserve"> </w:t>
      </w:r>
      <w:r>
        <w:t>of</w:t>
      </w:r>
      <w:r w:rsidR="004535DB">
        <w:t xml:space="preserve"> C1</w:t>
      </w:r>
      <w:sdt>
        <w:sdtPr>
          <w:id w:val="-676191867"/>
          <w:citation/>
        </w:sdtPr>
        <w:sdtContent>
          <w:r w:rsidR="0052436D">
            <w:fldChar w:fldCharType="begin"/>
          </w:r>
          <w:r w:rsidR="0052436D">
            <w:instrText xml:space="preserve"> CITATION Jar11 \l 2057 </w:instrText>
          </w:r>
          <w:r w:rsidR="0052436D">
            <w:fldChar w:fldCharType="separate"/>
          </w:r>
          <w:r w:rsidR="0052436D">
            <w:rPr>
              <w:noProof/>
            </w:rPr>
            <w:t xml:space="preserve"> </w:t>
          </w:r>
          <w:r w:rsidR="0052436D" w:rsidRPr="0052436D">
            <w:rPr>
              <w:noProof/>
            </w:rPr>
            <w:t>[1]</w:t>
          </w:r>
          <w:r w:rsidR="0052436D">
            <w:fldChar w:fldCharType="end"/>
          </w:r>
        </w:sdtContent>
      </w:sdt>
      <w:r>
        <w:t>,</w:t>
      </w:r>
      <w:r w:rsidR="003B2F25">
        <w:t xml:space="preserve"> this </w:t>
      </w:r>
      <w:r w:rsidR="004535DB">
        <w:t>is called an octave</w:t>
      </w:r>
      <w:r w:rsidR="00954757">
        <w:t xml:space="preserve">. </w:t>
      </w:r>
    </w:p>
    <w:p w:rsidR="00A8724D" w:rsidRDefault="00A8724D" w:rsidP="00A8724D">
      <w:pPr>
        <w:keepNext/>
      </w:pPr>
      <w:r>
        <w:rPr>
          <w:noProof/>
          <w:lang w:eastAsia="en-GB"/>
        </w:rPr>
        <w:drawing>
          <wp:inline distT="0" distB="0" distL="0" distR="0" wp14:anchorId="242728C6" wp14:editId="0D540335">
            <wp:extent cx="5731510" cy="133857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1338577"/>
                    </a:xfrm>
                    <a:prstGeom prst="rect">
                      <a:avLst/>
                    </a:prstGeom>
                  </pic:spPr>
                </pic:pic>
              </a:graphicData>
            </a:graphic>
          </wp:inline>
        </w:drawing>
      </w:r>
    </w:p>
    <w:p w:rsidR="00A8724D" w:rsidRDefault="00A8724D" w:rsidP="00A8724D">
      <w:pPr>
        <w:pStyle w:val="Caption"/>
      </w:pPr>
      <w:r>
        <w:t xml:space="preserve">Figure </w:t>
      </w:r>
      <w:fldSimple w:instr=" SEQ Figure \* ARABIC ">
        <w:r>
          <w:rPr>
            <w:noProof/>
          </w:rPr>
          <w:t>1</w:t>
        </w:r>
      </w:fldSimple>
      <w:r>
        <w:t>: Diagram showing different musical note notations</w:t>
      </w:r>
      <w:sdt>
        <w:sdtPr>
          <w:id w:val="-1749419964"/>
          <w:citation/>
        </w:sdtPr>
        <w:sdtContent>
          <w:r>
            <w:fldChar w:fldCharType="begin"/>
          </w:r>
          <w:r>
            <w:instrText xml:space="preserve"> CITATION MID17 \l 2057 </w:instrText>
          </w:r>
          <w:r>
            <w:fldChar w:fldCharType="separate"/>
          </w:r>
          <w:r>
            <w:rPr>
              <w:noProof/>
            </w:rPr>
            <w:t xml:space="preserve"> </w:t>
          </w:r>
          <w:r w:rsidRPr="00A8724D">
            <w:rPr>
              <w:noProof/>
            </w:rPr>
            <w:t>[1]</w:t>
          </w:r>
          <w:r>
            <w:fldChar w:fldCharType="end"/>
          </w:r>
        </w:sdtContent>
      </w:sdt>
    </w:p>
    <w:p w:rsidR="00A8724D" w:rsidRPr="00A8724D" w:rsidRDefault="005E5AAB" w:rsidP="00A8724D">
      <w:r>
        <w:t>The important parts of f</w:t>
      </w:r>
      <w:r w:rsidR="00A8724D">
        <w:t>igure 1</w:t>
      </w:r>
      <w:r>
        <w:t xml:space="preserve"> are</w:t>
      </w:r>
      <w:r w:rsidR="00A8724D">
        <w:t xml:space="preserve"> </w:t>
      </w:r>
      <w:r>
        <w:t>point 1 is the MIDI numbering</w:t>
      </w:r>
      <w:r w:rsidR="00CA2D32">
        <w:t xml:space="preserve"> </w:t>
      </w:r>
      <w:r>
        <w:t>and point 3 is the scientific musical notation. These are the notations that will be referred to in this section.</w:t>
      </w:r>
    </w:p>
    <w:p w:rsidR="00594701" w:rsidRDefault="0052436D">
      <w:r>
        <w:t>An octave contains 12 notes</w:t>
      </w:r>
      <w:r w:rsidR="00B67D06">
        <w:t xml:space="preserve"> </w:t>
      </w:r>
      <w:r>
        <w:t>four of which are</w:t>
      </w:r>
      <w:r w:rsidR="00B67D06">
        <w:t xml:space="preserve"> sharps/flats </w:t>
      </w:r>
      <w:r>
        <w:t>e</w:t>
      </w:r>
      <w:r w:rsidR="00B67D06">
        <w:t>ach note is 2</w:t>
      </w:r>
      <w:r w:rsidR="00B67D06" w:rsidRPr="00594701">
        <w:rPr>
          <w:vertAlign w:val="superscript"/>
        </w:rPr>
        <w:t xml:space="preserve">1/12 </w:t>
      </w:r>
      <w:r w:rsidR="00B67D06">
        <w:t xml:space="preserve">larger than the previous note this </w:t>
      </w:r>
      <w:r w:rsidR="00CA2D32">
        <w:t>is the reason why in the previous example</w:t>
      </w:r>
      <w:r w:rsidR="00B67D06">
        <w:t xml:space="preserve"> C</w:t>
      </w:r>
      <w:r w:rsidR="00CA2D32">
        <w:t>1</w:t>
      </w:r>
      <w:r w:rsidR="00B67D06">
        <w:t xml:space="preserve"> </w:t>
      </w:r>
      <w:r w:rsidR="00CA2D32">
        <w:t>has</w:t>
      </w:r>
      <w:r w:rsidR="00B67D06">
        <w:t xml:space="preserve"> half of the frequency </w:t>
      </w:r>
      <w:r w:rsidR="00CA2D32">
        <w:t>of</w:t>
      </w:r>
      <w:r w:rsidR="00B67D06">
        <w:t xml:space="preserve"> </w:t>
      </w:r>
      <w:r w:rsidR="00954757">
        <w:t>C</w:t>
      </w:r>
      <w:r w:rsidR="00CA2D32">
        <w:t>2</w:t>
      </w:r>
      <w:sdt>
        <w:sdtPr>
          <w:id w:val="-1865508190"/>
          <w:citation/>
        </w:sdtPr>
        <w:sdtContent>
          <w:r w:rsidR="00594701">
            <w:fldChar w:fldCharType="begin"/>
          </w:r>
          <w:r w:rsidR="00594701">
            <w:instrText xml:space="preserve"> CITATION Jar11 \l 2057 </w:instrText>
          </w:r>
          <w:r w:rsidR="00594701">
            <w:fldChar w:fldCharType="separate"/>
          </w:r>
          <w:r w:rsidR="00594701">
            <w:rPr>
              <w:noProof/>
            </w:rPr>
            <w:t xml:space="preserve"> </w:t>
          </w:r>
          <w:r w:rsidR="00594701" w:rsidRPr="00594701">
            <w:rPr>
              <w:noProof/>
            </w:rPr>
            <w:t>[1]</w:t>
          </w:r>
          <w:r w:rsidR="00594701">
            <w:fldChar w:fldCharType="end"/>
          </w:r>
        </w:sdtContent>
      </w:sdt>
      <w:r w:rsidR="00954757">
        <w:t xml:space="preserve">. These two notes are both </w:t>
      </w:r>
      <w:r w:rsidR="00CA2D32">
        <w:t xml:space="preserve">classed as </w:t>
      </w:r>
      <w:r w:rsidR="00954757">
        <w:t xml:space="preserve">C’s as they sound </w:t>
      </w:r>
      <w:r w:rsidR="00CA2D32">
        <w:t>similar due to the relationship between the frequencies being a multiple of two</w:t>
      </w:r>
      <w:r w:rsidR="00954757">
        <w:t>.</w:t>
      </w:r>
      <w:r w:rsidR="003B2F25">
        <w:t xml:space="preserve"> </w:t>
      </w:r>
    </w:p>
    <w:p w:rsidR="000853EC" w:rsidRDefault="003B2F25">
      <w:r>
        <w:t xml:space="preserve">A </w:t>
      </w:r>
      <w:r w:rsidR="00594701">
        <w:t>limit</w:t>
      </w:r>
      <w:r>
        <w:t xml:space="preserve">ation of some of the </w:t>
      </w:r>
      <w:r>
        <w:t>instruments</w:t>
      </w:r>
      <w:r w:rsidR="00594701">
        <w:t xml:space="preserve"> like the panpipes and xylophone is that</w:t>
      </w:r>
      <w:r>
        <w:t xml:space="preserve"> </w:t>
      </w:r>
      <w:r w:rsidR="00594701">
        <w:t xml:space="preserve">they have a limited range of notes they can play. </w:t>
      </w:r>
      <w:r w:rsidR="000853EC">
        <w:t>Therefore,</w:t>
      </w:r>
      <w:r w:rsidR="00594701">
        <w:t xml:space="preserve"> the range of notes should be chosen to match the song choices. If the range of notes one of these instruments is required to play exceeds the range of the instrumen</w:t>
      </w:r>
      <w:r w:rsidR="000853EC">
        <w:t xml:space="preserve">t it will sound wrong. For example if the instrument has a range of C1 to E2 and the range of the music is C1 to C3 the instrument would have to revert back to C2 or C1 when trying to play C3 which would sound out of place in relation to the other notes being played. However, if the notes being played were an octave above the range of the instrument it could still be used to play those notes as they would sound similar as long as the </w:t>
      </w:r>
      <w:r w:rsidR="0050282F">
        <w:t xml:space="preserve">number </w:t>
      </w:r>
      <w:r>
        <w:t>of notes</w:t>
      </w:r>
      <w:r w:rsidR="000853EC">
        <w:t xml:space="preserve"> required to play was less than the range of the instrument. For example if an instrument had a range of C1 to E2 and was needed to play notes from the range </w:t>
      </w:r>
      <w:r w:rsidR="000853EC">
        <w:t>C</w:t>
      </w:r>
      <w:r w:rsidR="000853EC">
        <w:t xml:space="preserve">2 to E3 it would still work as the notes would sound similar and the </w:t>
      </w:r>
      <w:r w:rsidR="0050282F">
        <w:t>number</w:t>
      </w:r>
      <w:r w:rsidR="000853EC">
        <w:t xml:space="preserve"> of notes required to be </w:t>
      </w:r>
      <w:r w:rsidR="0050282F">
        <w:t>play it</w:t>
      </w:r>
      <w:r w:rsidR="000853EC">
        <w:t xml:space="preserve"> is the same.</w:t>
      </w:r>
      <w:r>
        <w:t xml:space="preserve"> </w:t>
      </w:r>
      <w:bookmarkStart w:id="0" w:name="_GoBack"/>
      <w:bookmarkEnd w:id="0"/>
    </w:p>
    <w:p w:rsidR="009E1F92" w:rsidRDefault="009E1F92"/>
    <w:sdt>
      <w:sdtPr>
        <w:rPr>
          <w:rFonts w:asciiTheme="minorHAnsi" w:eastAsiaTheme="minorHAnsi" w:hAnsiTheme="minorHAnsi" w:cstheme="minorBidi"/>
          <w:b w:val="0"/>
          <w:bCs w:val="0"/>
          <w:color w:val="auto"/>
          <w:sz w:val="22"/>
          <w:szCs w:val="22"/>
          <w:lang w:val="en-GB" w:eastAsia="en-US"/>
        </w:rPr>
        <w:id w:val="322787471"/>
        <w:docPartObj>
          <w:docPartGallery w:val="Bibliographies"/>
          <w:docPartUnique/>
        </w:docPartObj>
      </w:sdtPr>
      <w:sdtEndPr/>
      <w:sdtContent>
        <w:p w:rsidR="003557EB" w:rsidRDefault="003557EB">
          <w:pPr>
            <w:pStyle w:val="Heading1"/>
          </w:pPr>
          <w:r>
            <w:t>Bibliography</w:t>
          </w:r>
        </w:p>
        <w:sdt>
          <w:sdtPr>
            <w:id w:val="111145805"/>
            <w:bibliography/>
          </w:sdtPr>
          <w:sdtEndPr/>
          <w:sdtContent>
            <w:p w:rsidR="0014272B" w:rsidRDefault="003557E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94"/>
              </w:tblGrid>
              <w:tr w:rsidR="0014272B">
                <w:trPr>
                  <w:divId w:val="569115711"/>
                  <w:tblCellSpacing w:w="15" w:type="dxa"/>
                </w:trPr>
                <w:tc>
                  <w:tcPr>
                    <w:tcW w:w="50" w:type="pct"/>
                    <w:hideMark/>
                  </w:tcPr>
                  <w:p w:rsidR="0014272B" w:rsidRDefault="0014272B">
                    <w:pPr>
                      <w:pStyle w:val="Bibliography"/>
                      <w:rPr>
                        <w:rFonts w:eastAsiaTheme="minorEastAsia"/>
                        <w:noProof/>
                        <w:lang w:val="en-US"/>
                      </w:rPr>
                    </w:pPr>
                    <w:r>
                      <w:rPr>
                        <w:noProof/>
                        <w:lang w:val="en-US"/>
                      </w:rPr>
                      <w:t xml:space="preserve">[1] </w:t>
                    </w:r>
                  </w:p>
                </w:tc>
                <w:tc>
                  <w:tcPr>
                    <w:tcW w:w="0" w:type="auto"/>
                    <w:hideMark/>
                  </w:tcPr>
                  <w:p w:rsidR="0014272B" w:rsidRDefault="0014272B">
                    <w:pPr>
                      <w:pStyle w:val="Bibliography"/>
                      <w:rPr>
                        <w:rFonts w:eastAsiaTheme="minorEastAsia"/>
                        <w:noProof/>
                        <w:lang w:val="en-US"/>
                      </w:rPr>
                    </w:pPr>
                    <w:r>
                      <w:rPr>
                        <w:noProof/>
                        <w:lang w:val="en-US"/>
                      </w:rPr>
                      <w:t>C. O. 2. Jarrod Hart (Los Olivos, "Musical Notes Explaned Simply," theprovincialscientist, 25 October 2011. [Online]. Available: http://theprovincialscientist.com/?p=1576. [Accessed 20 Novemeber 2017].</w:t>
                    </w:r>
                  </w:p>
                </w:tc>
              </w:tr>
              <w:tr w:rsidR="0014272B">
                <w:trPr>
                  <w:divId w:val="569115711"/>
                  <w:tblCellSpacing w:w="15" w:type="dxa"/>
                </w:trPr>
                <w:tc>
                  <w:tcPr>
                    <w:tcW w:w="50" w:type="pct"/>
                    <w:hideMark/>
                  </w:tcPr>
                  <w:p w:rsidR="0014272B" w:rsidRDefault="0014272B">
                    <w:pPr>
                      <w:pStyle w:val="Bibliography"/>
                      <w:rPr>
                        <w:rFonts w:eastAsiaTheme="minorEastAsia"/>
                        <w:noProof/>
                        <w:lang w:val="en-US"/>
                      </w:rPr>
                    </w:pPr>
                    <w:r>
                      <w:rPr>
                        <w:noProof/>
                        <w:lang w:val="en-US"/>
                      </w:rPr>
                      <w:t xml:space="preserve">[2] </w:t>
                    </w:r>
                  </w:p>
                </w:tc>
                <w:tc>
                  <w:tcPr>
                    <w:tcW w:w="0" w:type="auto"/>
                    <w:hideMark/>
                  </w:tcPr>
                  <w:p w:rsidR="0014272B" w:rsidRDefault="0014272B">
                    <w:pPr>
                      <w:pStyle w:val="Bibliography"/>
                      <w:rPr>
                        <w:rFonts w:eastAsiaTheme="minorEastAsia"/>
                        <w:noProof/>
                        <w:lang w:val="en-US"/>
                      </w:rPr>
                    </w:pPr>
                    <w:r>
                      <w:rPr>
                        <w:noProof/>
                        <w:lang w:val="en-US"/>
                      </w:rPr>
                      <w:t>"MIDI numbering, the Helmholtz Pitch Notation System,," theoretically correct, [Online]. Available: http://www.theoreticallycorrect.com/Helmholtz-Pitch-Numbering/. [Accessed 20 November 2017].</w:t>
                    </w:r>
                  </w:p>
                </w:tc>
              </w:tr>
              <w:tr w:rsidR="0014272B" w:rsidTr="0014272B">
                <w:trPr>
                  <w:divId w:val="569115711"/>
                  <w:tblCellSpacing w:w="15" w:type="dxa"/>
                </w:trPr>
                <w:tc>
                  <w:tcPr>
                    <w:tcW w:w="50" w:type="pct"/>
                  </w:tcPr>
                  <w:p w:rsidR="0014272B" w:rsidRDefault="0014272B">
                    <w:pPr>
                      <w:pStyle w:val="Bibliography"/>
                      <w:rPr>
                        <w:rFonts w:eastAsiaTheme="minorEastAsia"/>
                        <w:noProof/>
                        <w:lang w:val="en-US"/>
                      </w:rPr>
                    </w:pPr>
                  </w:p>
                </w:tc>
                <w:tc>
                  <w:tcPr>
                    <w:tcW w:w="0" w:type="auto"/>
                  </w:tcPr>
                  <w:p w:rsidR="0014272B" w:rsidRDefault="0014272B">
                    <w:pPr>
                      <w:pStyle w:val="Bibliography"/>
                      <w:rPr>
                        <w:rFonts w:eastAsiaTheme="minorEastAsia"/>
                        <w:noProof/>
                        <w:lang w:val="en-US"/>
                      </w:rPr>
                    </w:pPr>
                  </w:p>
                </w:tc>
              </w:tr>
              <w:tr w:rsidR="0014272B" w:rsidTr="0014272B">
                <w:trPr>
                  <w:divId w:val="569115711"/>
                  <w:tblCellSpacing w:w="15" w:type="dxa"/>
                </w:trPr>
                <w:tc>
                  <w:tcPr>
                    <w:tcW w:w="50" w:type="pct"/>
                  </w:tcPr>
                  <w:p w:rsidR="0014272B" w:rsidRDefault="0014272B">
                    <w:pPr>
                      <w:pStyle w:val="Bibliography"/>
                      <w:rPr>
                        <w:rFonts w:eastAsiaTheme="minorEastAsia"/>
                        <w:noProof/>
                        <w:lang w:val="en-US"/>
                      </w:rPr>
                    </w:pPr>
                  </w:p>
                </w:tc>
                <w:tc>
                  <w:tcPr>
                    <w:tcW w:w="0" w:type="auto"/>
                  </w:tcPr>
                  <w:p w:rsidR="0014272B" w:rsidRDefault="0014272B">
                    <w:pPr>
                      <w:pStyle w:val="Bibliography"/>
                      <w:rPr>
                        <w:rFonts w:eastAsiaTheme="minorEastAsia"/>
                        <w:noProof/>
                        <w:lang w:val="en-US"/>
                      </w:rPr>
                    </w:pPr>
                  </w:p>
                </w:tc>
              </w:tr>
              <w:tr w:rsidR="0014272B" w:rsidTr="0014272B">
                <w:trPr>
                  <w:divId w:val="569115711"/>
                  <w:tblCellSpacing w:w="15" w:type="dxa"/>
                </w:trPr>
                <w:tc>
                  <w:tcPr>
                    <w:tcW w:w="50" w:type="pct"/>
                  </w:tcPr>
                  <w:p w:rsidR="0014272B" w:rsidRDefault="0014272B">
                    <w:pPr>
                      <w:pStyle w:val="Bibliography"/>
                      <w:rPr>
                        <w:rFonts w:eastAsiaTheme="minorEastAsia"/>
                        <w:noProof/>
                        <w:lang w:val="en-US"/>
                      </w:rPr>
                    </w:pPr>
                  </w:p>
                </w:tc>
                <w:tc>
                  <w:tcPr>
                    <w:tcW w:w="0" w:type="auto"/>
                  </w:tcPr>
                  <w:p w:rsidR="0014272B" w:rsidRDefault="0014272B">
                    <w:pPr>
                      <w:pStyle w:val="Bibliography"/>
                      <w:rPr>
                        <w:rFonts w:eastAsiaTheme="minorEastAsia"/>
                        <w:noProof/>
                        <w:lang w:val="en-US"/>
                      </w:rPr>
                    </w:pPr>
                  </w:p>
                </w:tc>
              </w:tr>
              <w:tr w:rsidR="0014272B" w:rsidTr="0014272B">
                <w:trPr>
                  <w:divId w:val="569115711"/>
                  <w:tblCellSpacing w:w="15" w:type="dxa"/>
                </w:trPr>
                <w:tc>
                  <w:tcPr>
                    <w:tcW w:w="50" w:type="pct"/>
                  </w:tcPr>
                  <w:p w:rsidR="0014272B" w:rsidRDefault="0014272B">
                    <w:pPr>
                      <w:pStyle w:val="Bibliography"/>
                      <w:rPr>
                        <w:rFonts w:eastAsiaTheme="minorEastAsia"/>
                        <w:noProof/>
                        <w:lang w:val="en-US"/>
                      </w:rPr>
                    </w:pPr>
                  </w:p>
                </w:tc>
                <w:tc>
                  <w:tcPr>
                    <w:tcW w:w="0" w:type="auto"/>
                  </w:tcPr>
                  <w:p w:rsidR="0014272B" w:rsidRDefault="0014272B">
                    <w:pPr>
                      <w:pStyle w:val="Bibliography"/>
                      <w:rPr>
                        <w:rFonts w:eastAsiaTheme="minorEastAsia"/>
                        <w:noProof/>
                        <w:lang w:val="en-US"/>
                      </w:rPr>
                    </w:pPr>
                  </w:p>
                </w:tc>
              </w:tr>
              <w:tr w:rsidR="0014272B" w:rsidTr="0014272B">
                <w:trPr>
                  <w:divId w:val="569115711"/>
                  <w:tblCellSpacing w:w="15" w:type="dxa"/>
                </w:trPr>
                <w:tc>
                  <w:tcPr>
                    <w:tcW w:w="50" w:type="pct"/>
                  </w:tcPr>
                  <w:p w:rsidR="0014272B" w:rsidRDefault="0014272B">
                    <w:pPr>
                      <w:pStyle w:val="Bibliography"/>
                      <w:rPr>
                        <w:rFonts w:eastAsiaTheme="minorEastAsia"/>
                        <w:noProof/>
                        <w:lang w:val="en-US"/>
                      </w:rPr>
                    </w:pPr>
                  </w:p>
                </w:tc>
                <w:tc>
                  <w:tcPr>
                    <w:tcW w:w="0" w:type="auto"/>
                  </w:tcPr>
                  <w:p w:rsidR="0014272B" w:rsidRDefault="0014272B">
                    <w:pPr>
                      <w:pStyle w:val="Bibliography"/>
                      <w:rPr>
                        <w:rFonts w:eastAsiaTheme="minorEastAsia"/>
                        <w:noProof/>
                        <w:lang w:val="en-US"/>
                      </w:rPr>
                    </w:pPr>
                  </w:p>
                </w:tc>
              </w:tr>
              <w:tr w:rsidR="0014272B" w:rsidTr="0014272B">
                <w:trPr>
                  <w:divId w:val="569115711"/>
                  <w:tblCellSpacing w:w="15" w:type="dxa"/>
                </w:trPr>
                <w:tc>
                  <w:tcPr>
                    <w:tcW w:w="50" w:type="pct"/>
                  </w:tcPr>
                  <w:p w:rsidR="0014272B" w:rsidRDefault="0014272B">
                    <w:pPr>
                      <w:pStyle w:val="Bibliography"/>
                      <w:rPr>
                        <w:rFonts w:eastAsiaTheme="minorEastAsia"/>
                        <w:noProof/>
                        <w:lang w:val="en-US"/>
                      </w:rPr>
                    </w:pPr>
                  </w:p>
                </w:tc>
                <w:tc>
                  <w:tcPr>
                    <w:tcW w:w="0" w:type="auto"/>
                  </w:tcPr>
                  <w:p w:rsidR="0014272B" w:rsidRDefault="0014272B">
                    <w:pPr>
                      <w:pStyle w:val="Bibliography"/>
                      <w:rPr>
                        <w:rFonts w:eastAsiaTheme="minorEastAsia"/>
                        <w:noProof/>
                        <w:lang w:val="en-US"/>
                      </w:rPr>
                    </w:pPr>
                  </w:p>
                </w:tc>
              </w:tr>
              <w:tr w:rsidR="0014272B" w:rsidTr="0014272B">
                <w:trPr>
                  <w:divId w:val="569115711"/>
                  <w:tblCellSpacing w:w="15" w:type="dxa"/>
                </w:trPr>
                <w:tc>
                  <w:tcPr>
                    <w:tcW w:w="50" w:type="pct"/>
                  </w:tcPr>
                  <w:p w:rsidR="0014272B" w:rsidRDefault="0014272B">
                    <w:pPr>
                      <w:pStyle w:val="Bibliography"/>
                      <w:rPr>
                        <w:rFonts w:eastAsiaTheme="minorEastAsia"/>
                        <w:noProof/>
                        <w:lang w:val="en-US"/>
                      </w:rPr>
                    </w:pPr>
                  </w:p>
                </w:tc>
                <w:tc>
                  <w:tcPr>
                    <w:tcW w:w="0" w:type="auto"/>
                  </w:tcPr>
                  <w:p w:rsidR="0014272B" w:rsidRDefault="0014272B">
                    <w:pPr>
                      <w:pStyle w:val="Bibliography"/>
                      <w:rPr>
                        <w:rFonts w:eastAsiaTheme="minorEastAsia"/>
                        <w:noProof/>
                        <w:lang w:val="en-US"/>
                      </w:rPr>
                    </w:pPr>
                  </w:p>
                </w:tc>
              </w:tr>
            </w:tbl>
            <w:p w:rsidR="0014272B" w:rsidRDefault="0014272B">
              <w:pPr>
                <w:divId w:val="569115711"/>
                <w:rPr>
                  <w:rFonts w:eastAsia="Times New Roman"/>
                  <w:noProof/>
                </w:rPr>
              </w:pPr>
            </w:p>
            <w:p w:rsidR="003557EB" w:rsidRDefault="003557EB">
              <w:r>
                <w:rPr>
                  <w:b/>
                  <w:bCs/>
                  <w:noProof/>
                </w:rPr>
                <w:fldChar w:fldCharType="end"/>
              </w:r>
            </w:p>
          </w:sdtContent>
        </w:sdt>
      </w:sdtContent>
    </w:sdt>
    <w:sectPr w:rsidR="003557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04F"/>
    <w:rsid w:val="00007788"/>
    <w:rsid w:val="00023235"/>
    <w:rsid w:val="00075891"/>
    <w:rsid w:val="000853EC"/>
    <w:rsid w:val="000A3490"/>
    <w:rsid w:val="000C3524"/>
    <w:rsid w:val="0014272B"/>
    <w:rsid w:val="00222AF7"/>
    <w:rsid w:val="00327D49"/>
    <w:rsid w:val="003557EB"/>
    <w:rsid w:val="0038395B"/>
    <w:rsid w:val="003B2F25"/>
    <w:rsid w:val="003E0009"/>
    <w:rsid w:val="003E4ED0"/>
    <w:rsid w:val="003E7006"/>
    <w:rsid w:val="003F4DC5"/>
    <w:rsid w:val="004535DB"/>
    <w:rsid w:val="00500DD0"/>
    <w:rsid w:val="0050282F"/>
    <w:rsid w:val="00522DDC"/>
    <w:rsid w:val="0052436D"/>
    <w:rsid w:val="00594701"/>
    <w:rsid w:val="005C61EC"/>
    <w:rsid w:val="005E5AAB"/>
    <w:rsid w:val="006B004F"/>
    <w:rsid w:val="006C0029"/>
    <w:rsid w:val="006C5521"/>
    <w:rsid w:val="006C61FE"/>
    <w:rsid w:val="006E0A6E"/>
    <w:rsid w:val="00704AE0"/>
    <w:rsid w:val="00712E5D"/>
    <w:rsid w:val="00730679"/>
    <w:rsid w:val="00734028"/>
    <w:rsid w:val="0083708F"/>
    <w:rsid w:val="00841EC8"/>
    <w:rsid w:val="00954757"/>
    <w:rsid w:val="009E1F92"/>
    <w:rsid w:val="00A41927"/>
    <w:rsid w:val="00A72A93"/>
    <w:rsid w:val="00A82371"/>
    <w:rsid w:val="00A8724D"/>
    <w:rsid w:val="00B67D06"/>
    <w:rsid w:val="00C54A73"/>
    <w:rsid w:val="00CA2D32"/>
    <w:rsid w:val="00D26519"/>
    <w:rsid w:val="00D921DD"/>
    <w:rsid w:val="00DB4AB8"/>
    <w:rsid w:val="00DE4547"/>
    <w:rsid w:val="00E51C6A"/>
    <w:rsid w:val="00EA561F"/>
    <w:rsid w:val="00F77C3A"/>
    <w:rsid w:val="00F906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57EB"/>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7EB"/>
    <w:rPr>
      <w:rFonts w:asciiTheme="majorHAnsi" w:eastAsiaTheme="majorEastAsia" w:hAnsiTheme="majorHAnsi" w:cstheme="majorBidi"/>
      <w:b/>
      <w:bCs/>
      <w:color w:val="2F5496" w:themeColor="accent1" w:themeShade="BF"/>
      <w:sz w:val="28"/>
      <w:szCs w:val="28"/>
      <w:lang w:val="en-US" w:eastAsia="ja-JP"/>
    </w:rPr>
  </w:style>
  <w:style w:type="paragraph" w:styleId="BalloonText">
    <w:name w:val="Balloon Text"/>
    <w:basedOn w:val="Normal"/>
    <w:link w:val="BalloonTextChar"/>
    <w:uiPriority w:val="99"/>
    <w:semiHidden/>
    <w:unhideWhenUsed/>
    <w:rsid w:val="003557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7EB"/>
    <w:rPr>
      <w:rFonts w:ascii="Tahoma" w:hAnsi="Tahoma" w:cs="Tahoma"/>
      <w:sz w:val="16"/>
      <w:szCs w:val="16"/>
    </w:rPr>
  </w:style>
  <w:style w:type="paragraph" w:styleId="Caption">
    <w:name w:val="caption"/>
    <w:basedOn w:val="Normal"/>
    <w:next w:val="Normal"/>
    <w:uiPriority w:val="35"/>
    <w:unhideWhenUsed/>
    <w:qFormat/>
    <w:rsid w:val="00D26519"/>
    <w:pPr>
      <w:spacing w:after="200" w:line="240" w:lineRule="auto"/>
    </w:pPr>
    <w:rPr>
      <w:b/>
      <w:bCs/>
      <w:color w:val="4472C4" w:themeColor="accent1"/>
      <w:sz w:val="18"/>
      <w:szCs w:val="18"/>
    </w:rPr>
  </w:style>
  <w:style w:type="paragraph" w:styleId="ListParagraph">
    <w:name w:val="List Paragraph"/>
    <w:basedOn w:val="Normal"/>
    <w:uiPriority w:val="34"/>
    <w:qFormat/>
    <w:rsid w:val="00075891"/>
    <w:pPr>
      <w:ind w:left="720"/>
      <w:contextualSpacing/>
    </w:pPr>
  </w:style>
  <w:style w:type="paragraph" w:styleId="Bibliography">
    <w:name w:val="Bibliography"/>
    <w:basedOn w:val="Normal"/>
    <w:next w:val="Normal"/>
    <w:uiPriority w:val="37"/>
    <w:unhideWhenUsed/>
    <w:rsid w:val="00A72A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557EB"/>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7EB"/>
    <w:rPr>
      <w:rFonts w:asciiTheme="majorHAnsi" w:eastAsiaTheme="majorEastAsia" w:hAnsiTheme="majorHAnsi" w:cstheme="majorBidi"/>
      <w:b/>
      <w:bCs/>
      <w:color w:val="2F5496" w:themeColor="accent1" w:themeShade="BF"/>
      <w:sz w:val="28"/>
      <w:szCs w:val="28"/>
      <w:lang w:val="en-US" w:eastAsia="ja-JP"/>
    </w:rPr>
  </w:style>
  <w:style w:type="paragraph" w:styleId="BalloonText">
    <w:name w:val="Balloon Text"/>
    <w:basedOn w:val="Normal"/>
    <w:link w:val="BalloonTextChar"/>
    <w:uiPriority w:val="99"/>
    <w:semiHidden/>
    <w:unhideWhenUsed/>
    <w:rsid w:val="003557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7EB"/>
    <w:rPr>
      <w:rFonts w:ascii="Tahoma" w:hAnsi="Tahoma" w:cs="Tahoma"/>
      <w:sz w:val="16"/>
      <w:szCs w:val="16"/>
    </w:rPr>
  </w:style>
  <w:style w:type="paragraph" w:styleId="Caption">
    <w:name w:val="caption"/>
    <w:basedOn w:val="Normal"/>
    <w:next w:val="Normal"/>
    <w:uiPriority w:val="35"/>
    <w:unhideWhenUsed/>
    <w:qFormat/>
    <w:rsid w:val="00D26519"/>
    <w:pPr>
      <w:spacing w:after="200" w:line="240" w:lineRule="auto"/>
    </w:pPr>
    <w:rPr>
      <w:b/>
      <w:bCs/>
      <w:color w:val="4472C4" w:themeColor="accent1"/>
      <w:sz w:val="18"/>
      <w:szCs w:val="18"/>
    </w:rPr>
  </w:style>
  <w:style w:type="paragraph" w:styleId="ListParagraph">
    <w:name w:val="List Paragraph"/>
    <w:basedOn w:val="Normal"/>
    <w:uiPriority w:val="34"/>
    <w:qFormat/>
    <w:rsid w:val="00075891"/>
    <w:pPr>
      <w:ind w:left="720"/>
      <w:contextualSpacing/>
    </w:pPr>
  </w:style>
  <w:style w:type="paragraph" w:styleId="Bibliography">
    <w:name w:val="Bibliography"/>
    <w:basedOn w:val="Normal"/>
    <w:next w:val="Normal"/>
    <w:uiPriority w:val="37"/>
    <w:unhideWhenUsed/>
    <w:rsid w:val="00A72A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Wik17</b:Tag>
    <b:SourceType>InternetSite</b:SourceType>
    <b:Guid>{3209B804-C97A-492D-B994-E389E6F59CF0}</b:Guid>
    <b:Author>
      <b:Author>
        <b:NameList>
          <b:Person>
            <b:Last>WikiHow</b:Last>
          </b:Person>
        </b:NameList>
      </b:Author>
    </b:Author>
    <b:Title>wikiHow to Play the Trumpet</b:Title>
    <b:ProductionCompany>WikiHow</b:ProductionCompany>
    <b:YearAccessed>2017</b:YearAccessed>
    <b:MonthAccessed>November</b:MonthAccessed>
    <b:DayAccessed>19</b:DayAccessed>
    <b:URL>https://www.wikihow.com/Play-the-Trumpet</b:URL>
    <b:RefOrder>3</b:RefOrder>
  </b:Source>
  <b:Source>
    <b:Tag>Lea10</b:Tag>
    <b:SourceType>InternetSite</b:SourceType>
    <b:Guid>{EDD9167E-8C23-426D-AE00-B55FAD3D99AF}</b:Guid>
    <b:Title>How to Play Trumpet- Lesson #1 Beginner</b:Title>
    <b:Year>2010</b:Year>
    <b:Author>
      <b:Author>
        <b:NameList>
          <b:Person>
            <b:Last>Learnitonlinetoday</b:Last>
          </b:Person>
        </b:NameList>
      </b:Author>
    </b:Author>
    <b:ProductionCompany>Learnitonlinetoday</b:ProductionCompany>
    <b:Month>January</b:Month>
    <b:Day>9</b:Day>
    <b:YearAccessed>2017</b:YearAccessed>
    <b:MonthAccessed>November</b:MonthAccessed>
    <b:DayAccessed>19</b:DayAccessed>
    <b:URL>https://www.youtube.com/watch?v=2SjH0qhQpoU</b:URL>
    <b:RefOrder>4</b:RefOrder>
  </b:Source>
  <b:Source>
    <b:Tag>Ang10</b:Tag>
    <b:SourceType>InternetSite</b:SourceType>
    <b:Guid>{EA7F4CBD-2E55-400D-809D-A4D7CA2BA4B8}</b:Guid>
    <b:Author>
      <b:Author>
        <b:NameList>
          <b:Person>
            <b:Last>Lim</b:Last>
            <b:First>Angelica</b:First>
          </b:Person>
        </b:NameList>
      </b:Author>
    </b:Author>
    <b:Title>Toyota Trumpet Robot (Subtitles in English and Japanese)</b:Title>
    <b:Year>2010</b:Year>
    <b:Month>January</b:Month>
    <b:Day>4</b:Day>
    <b:YearAccessed>2017</b:YearAccessed>
    <b:MonthAccessed>Novemeber</b:MonthAccessed>
    <b:DayAccessed>19</b:DayAccessed>
    <b:URL>https://www.youtube.com/watch?v=6fctULDctuA&amp;t=107s</b:URL>
    <b:RefOrder>5</b:RefOrder>
  </b:Source>
  <b:Source>
    <b:Tag>Bot08</b:Tag>
    <b:SourceType>InternetSite</b:SourceType>
    <b:Guid>{723364D3-52FA-4257-BF39-12FE750830E8}</b:Guid>
    <b:Author>
      <b:Author>
        <b:NameList>
          <b:Person>
            <b:Last>BotJunkie</b:Last>
          </b:Person>
        </b:NameList>
      </b:Author>
    </b:Author>
    <b:Title>Waseda Flutist Robot</b:Title>
    <b:Year>2008</b:Year>
    <b:Month>November</b:Month>
    <b:Day>1</b:Day>
    <b:YearAccessed>2017</b:YearAccessed>
    <b:MonthAccessed>November</b:MonthAccessed>
    <b:DayAccessed>19</b:DayAccessed>
    <b:URL>https://www.youtube.com/watch?v=jx8U1FgILCE</b:URL>
    <b:RefOrder>6</b:RefOrder>
  </b:Source>
  <b:Source>
    <b:Tag>Wik171</b:Tag>
    <b:SourceType>InternetSite</b:SourceType>
    <b:Guid>{1D66E121-3A10-4D5F-AA67-74A38EC44E81}</b:Guid>
    <b:Title>wikiHow to Play the Panpipe or Pan Flute</b:Title>
    <b:Author>
      <b:Author>
        <b:NameList>
          <b:Person>
            <b:Last>WikiHow</b:Last>
          </b:Person>
        </b:NameList>
      </b:Author>
    </b:Author>
    <b:YearAccessed>2017</b:YearAccessed>
    <b:MonthAccessed>November</b:MonthAccessed>
    <b:DayAccessed>20</b:DayAccessed>
    <b:URL>https://www.wikihow.com/Play-the-Panpipe-or-Pan-Flute</b:URL>
    <b:RefOrder>7</b:RefOrder>
  </b:Source>
  <b:Source>
    <b:Tag>how17</b:Tag>
    <b:SourceType>InternetSite</b:SourceType>
    <b:Guid>{4E83DB83-3BFC-45EE-95A9-F6DA4D844DA5}</b:Guid>
    <b:Title>how to play the recorder</b:Title>
    <b:ProductionCompany>arta recorder</b:ProductionCompany>
    <b:YearAccessed>2017</b:YearAccessed>
    <b:MonthAccessed>November</b:MonthAccessed>
    <b:DayAccessed>20</b:DayAccessed>
    <b:URL>http://www.arta-recorder.org/</b:URL>
    <b:RefOrder>8</b:RefOrder>
  </b:Source>
  <b:Source>
    <b:Tag>Tea11</b:Tag>
    <b:SourceType>InternetSite</b:SourceType>
    <b:Guid>{D9F2B345-480E-4D31-A0B8-BBFF41873021}</b:Guid>
    <b:Author>
      <b:Author>
        <b:NameList>
          <b:Person>
            <b:Last>Dare</b:Last>
            <b:First>Team</b:First>
          </b:Person>
        </b:NameList>
      </b:Author>
    </b:Author>
    <b:Title>TeamDARE's robot band plays 'Rolling in the deep'</b:Title>
    <b:ProductionCompany>TeamDare</b:ProductionCompany>
    <b:Year>2011</b:Year>
    <b:Month>August</b:Month>
    <b:Day>27</b:Day>
    <b:YearAccessed>2017</b:YearAccessed>
    <b:MonthAccessed>November</b:MonthAccessed>
    <b:DayAccessed>20</b:DayAccessed>
    <b:URL>https://www.youtube.com/watch?v=RKpKygGX2Nk</b:URL>
    <b:RefOrder>9</b:RefOrder>
  </b:Source>
  <b:Source>
    <b:Tag>MID17</b:Tag>
    <b:SourceType>InternetSite</b:SourceType>
    <b:Guid>{A6FBE71A-8D34-4686-90E8-5EE4573DB54F}</b:Guid>
    <b:Title>MIDI numbering, the Helmholtz Pitch Notation System,</b:Title>
    <b:ProductionCompany>theoretically correct</b:ProductionCompany>
    <b:YearAccessed>2017</b:YearAccessed>
    <b:MonthAccessed>November</b:MonthAccessed>
    <b:DayAccessed>20</b:DayAccessed>
    <b:URL>http://www.theoreticallycorrect.com/Helmholtz-Pitch-Numbering/</b:URL>
    <b:RefOrder>2</b:RefOrder>
  </b:Source>
  <b:Source>
    <b:Tag>Jar11</b:Tag>
    <b:SourceType>InternetSite</b:SourceType>
    <b:Guid>{08A1F222-BF5A-41C4-8C5F-22D876408577}</b:Guid>
    <b:Author>
      <b:Author>
        <b:NameList>
          <b:Person>
            <b:Last>Jarrod Hart (Los Olivos</b:Last>
            <b:First>CA,</b:First>
            <b:Middle>October 2011)</b:Middle>
          </b:Person>
        </b:NameList>
      </b:Author>
    </b:Author>
    <b:Title>Musical Notes Explaned Simply</b:Title>
    <b:ProductionCompany>theprovincialscientist</b:ProductionCompany>
    <b:Year>2011</b:Year>
    <b:Month>October</b:Month>
    <b:Day>25</b:Day>
    <b:YearAccessed>2017</b:YearAccessed>
    <b:MonthAccessed>Novemeber</b:MonthAccessed>
    <b:DayAccessed>20</b:DayAccessed>
    <b:URL>http://theprovincialscientist.com/?p=1576</b:URL>
    <b:RefOrder>1</b:RefOrder>
  </b:Source>
</b:Sources>
</file>

<file path=customXml/itemProps1.xml><?xml version="1.0" encoding="utf-8"?>
<ds:datastoreItem xmlns:ds="http://schemas.openxmlformats.org/officeDocument/2006/customXml" ds:itemID="{8768AA2D-B89E-48B3-BDF1-A4A1A6545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Simpson</dc:creator>
  <cp:lastModifiedBy>Josh</cp:lastModifiedBy>
  <cp:revision>2</cp:revision>
  <dcterms:created xsi:type="dcterms:W3CDTF">2017-11-20T16:27:00Z</dcterms:created>
  <dcterms:modified xsi:type="dcterms:W3CDTF">2017-11-20T16:27:00Z</dcterms:modified>
</cp:coreProperties>
</file>