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Look w:val="04A0" w:firstRow="1" w:lastRow="0" w:firstColumn="1" w:lastColumn="0" w:noHBand="0" w:noVBand="1"/>
      </w:tblPr>
      <w:tblGrid>
        <w:gridCol w:w="9936"/>
      </w:tblGrid>
      <w:tr w:rsidR="00302EB5" w14:paraId="18F34ADE" w14:textId="77777777">
        <w:tc>
          <w:tcPr>
            <w:tcW w:w="9936" w:type="dxa"/>
            <w:shd w:val="clear" w:color="auto" w:fill="0B4F6C"/>
          </w:tcPr>
          <w:p w14:paraId="0AB6915D" w14:textId="77777777" w:rsidR="00302EB5" w:rsidRDefault="00000000">
            <w:pPr>
              <w:jc w:val="center"/>
            </w:pPr>
            <w:r>
              <w:rPr>
                <w:b/>
                <w:color w:val="FFFFFF"/>
                <w:sz w:val="22"/>
              </w:rPr>
              <w:t>ENSO AND CLOUD COVER MINI-PROJECT  ·  STUDENT HANDBOOK</w:t>
            </w:r>
          </w:p>
        </w:tc>
      </w:tr>
    </w:tbl>
    <w:p w14:paraId="488BF553" w14:textId="77777777" w:rsidR="00302EB5" w:rsidRDefault="00000000">
      <w:pPr>
        <w:pStyle w:val="Title"/>
        <w:jc w:val="center"/>
      </w:pPr>
      <w:r>
        <w:t>ENSO and Cloud Cover</w:t>
      </w:r>
    </w:p>
    <w:p w14:paraId="3C4F405A" w14:textId="77777777" w:rsidR="00302EB5" w:rsidRDefault="00000000">
      <w:pPr>
        <w:jc w:val="center"/>
      </w:pPr>
      <w:r>
        <w:t>A guided mini research project using ERA5</w:t>
      </w:r>
    </w:p>
    <w:p w14:paraId="4764964F" w14:textId="77777777" w:rsidR="00302EB5" w:rsidRDefault="00000000">
      <w:pPr>
        <w:jc w:val="center"/>
      </w:pPr>
      <w:r>
        <w:t>Year 2 Environmental Science • Atmospheric Science pathway</w:t>
      </w:r>
    </w:p>
    <w:p w14:paraId="78E737D4" w14:textId="77777777" w:rsidR="00302EB5" w:rsidRDefault="00000000">
      <w:pPr>
        <w:jc w:val="center"/>
      </w:pPr>
      <w:r>
        <w:rPr>
          <w:i/>
          <w:color w:val="595959"/>
        </w:rPr>
        <w:t>Timetabled tutorials: 29 Sep · 6 Oct · 13 Oct · 27 Oct · 10 Nov · 17 Nov · 24 Nov · 1 Dec</w:t>
      </w:r>
    </w:p>
    <w:p w14:paraId="5955A5C4" w14:textId="77777777" w:rsidR="00302EB5" w:rsidRDefault="00000000">
      <w:r>
        <w:rPr>
          <w:noProof/>
        </w:rPr>
        <w:drawing>
          <wp:inline distT="0" distB="0" distL="0" distR="0" wp14:anchorId="79D09367" wp14:editId="51B3D9B1">
            <wp:extent cx="5715000" cy="28659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unnel_better.png"/>
                    <pic:cNvPicPr/>
                  </pic:nvPicPr>
                  <pic:blipFill>
                    <a:blip r:embed="rId8"/>
                    <a:stretch>
                      <a:fillRect/>
                    </a:stretch>
                  </pic:blipFill>
                  <pic:spPr>
                    <a:xfrm>
                      <a:off x="0" y="0"/>
                      <a:ext cx="5715000" cy="2865949"/>
                    </a:xfrm>
                    <a:prstGeom prst="rect">
                      <a:avLst/>
                    </a:prstGeom>
                  </pic:spPr>
                </pic:pic>
              </a:graphicData>
            </a:graphic>
          </wp:inline>
        </w:drawing>
      </w:r>
    </w:p>
    <w:p w14:paraId="45C543AB" w14:textId="77777777" w:rsidR="00302EB5" w:rsidRDefault="00000000">
      <w:pPr>
        <w:pStyle w:val="IntenseQuote"/>
      </w:pPr>
      <w:r>
        <w:t>Explore broadly. Then choose one aspect that interests you and investigate it well.</w:t>
      </w:r>
    </w:p>
    <w:p w14:paraId="3BC1CD70" w14:textId="77777777" w:rsidR="00302EB5" w:rsidRDefault="00000000">
      <w:r>
        <w:br w:type="page"/>
      </w:r>
    </w:p>
    <w:p w14:paraId="14F3251F" w14:textId="77777777" w:rsidR="00302EB5" w:rsidRDefault="00000000">
      <w:pPr>
        <w:pStyle w:val="Heading1"/>
      </w:pPr>
      <w:r>
        <w:lastRenderedPageBreak/>
        <w:t>Contents</w:t>
      </w:r>
    </w:p>
    <w:p w14:paraId="4EE3CB29" w14:textId="77777777" w:rsidR="00302EB5" w:rsidRDefault="00000000">
      <w:r>
        <w:rPr>
          <w:i/>
          <w:color w:val="808080"/>
          <w:sz w:val="18"/>
        </w:rPr>
        <w:t>(In Word: right-click this list and choose “Update Field” if the page numbers below don't match after editing.)</w:t>
      </w:r>
    </w:p>
    <w:p w14:paraId="13F5C6E1" w14:textId="77777777" w:rsidR="00302EB5" w:rsidRDefault="00000000">
      <w:r>
        <w:fldChar w:fldCharType="begin"/>
      </w:r>
      <w:r>
        <w:instrText>TOC \o "1-2" \h \z \u</w:instrText>
      </w:r>
      <w:r>
        <w:fldChar w:fldCharType="separate"/>
      </w:r>
      <w:r>
        <w:t>Right-click and choose Update Field to build the contents list.</w:t>
      </w:r>
      <w:r>
        <w:fldChar w:fldCharType="end"/>
      </w:r>
    </w:p>
    <w:p w14:paraId="56DB5731" w14:textId="77777777" w:rsidR="00302EB5" w:rsidRDefault="00000000">
      <w:r>
        <w:br w:type="page"/>
      </w:r>
    </w:p>
    <w:p w14:paraId="37ACC825" w14:textId="77777777" w:rsidR="00302EB5" w:rsidRDefault="00000000">
      <w:pPr>
        <w:pStyle w:val="Heading1"/>
      </w:pPr>
      <w:r>
        <w:lastRenderedPageBreak/>
        <w:t>1. What is the project?</w:t>
      </w:r>
    </w:p>
    <w:p w14:paraId="7A870902" w14:textId="77777777" w:rsidR="00302EB5" w:rsidRDefault="00000000">
      <w:r>
        <w:t>You will use ERA5 reanalysis and the Oceanic Niño Index (ONI) to explore how cloud cover is related to ENSO. The Jupyter notebook contains more analyses than you can sensibly include in a short report. That is deliberate: it gives you a set of tools from which to choose.</w:t>
      </w:r>
    </w:p>
    <w:p w14:paraId="29717C34" w14:textId="77777777" w:rsidR="00302EB5" w:rsidRDefault="00000000">
      <w:pPr>
        <w:pStyle w:val="Heading2"/>
      </w:pPr>
      <w:r>
        <w:t>The key idea</w:t>
      </w:r>
    </w:p>
    <w:p w14:paraId="01B68EB7" w14:textId="77777777" w:rsidR="00302EB5" w:rsidRDefault="00000000">
      <w:r>
        <w:t>Your report should answer ONE focused question using about 3–5 well-chosen figures. You are not expected to use every notebook output, every cloud variable, every region, or every statistical method.</w:t>
      </w:r>
    </w:p>
    <w:p w14:paraId="538DC252" w14:textId="77777777" w:rsidR="00302EB5" w:rsidRDefault="00000000">
      <w:pPr>
        <w:pStyle w:val="Heading2"/>
      </w:pPr>
      <w:r>
        <w:t>Why this matters</w:t>
      </w:r>
    </w:p>
    <w:p w14:paraId="00649458" w14:textId="77777777" w:rsidR="00302EB5" w:rsidRDefault="00000000">
      <w:r>
        <w:t>ENSO is the single biggest source of year-to-year climate variability on Earth. The signals you are about to analyse in ERA5 are the same ones national weather services and governments actually watch, because an ENSO forecast is one of the few genuine skillful seasonal forecasts we have. Getting good at reading these patterns is a real, transferable skill, not just an exercise for this course.</w:t>
      </w:r>
    </w:p>
    <w:p w14:paraId="2D9BA233" w14:textId="77777777" w:rsidR="00302EB5" w:rsidRDefault="00000000">
      <w:r>
        <w:rPr>
          <w:b/>
        </w:rPr>
        <w:t>El Niño tends to bring:</w:t>
      </w:r>
    </w:p>
    <w:p w14:paraId="46AA5B24" w14:textId="77777777" w:rsidR="00302EB5" w:rsidRDefault="00000000">
      <w:pPr>
        <w:pStyle w:val="ListBullet"/>
      </w:pPr>
      <w:r>
        <w:t>Drier conditions and drought risk across Indonesia, the Maritime Continent, and parts of Australia.</w:t>
      </w:r>
    </w:p>
    <w:p w14:paraId="1077496D" w14:textId="77777777" w:rsidR="00302EB5" w:rsidRDefault="00000000">
      <w:pPr>
        <w:pStyle w:val="ListBullet"/>
      </w:pPr>
      <w:r>
        <w:t>Wetter-than-average conditions along the Pacific coast of South America (Peru, Ecuador) and the southern USA.</w:t>
      </w:r>
    </w:p>
    <w:p w14:paraId="4B4889CD" w14:textId="77777777" w:rsidR="00302EB5" w:rsidRDefault="00000000">
      <w:pPr>
        <w:pStyle w:val="ListBullet"/>
      </w:pPr>
      <w:r>
        <w:t>A quieter Atlantic hurricane season, but can support a more active eastern Pacific one.</w:t>
      </w:r>
    </w:p>
    <w:p w14:paraId="38DB67F2" w14:textId="77777777" w:rsidR="00302EB5" w:rsidRDefault="00000000">
      <w:pPr>
        <w:pStyle w:val="ListBullet"/>
      </w:pPr>
      <w:r>
        <w:t>Widespread coral bleaching when a strong event coincides with already-warm oceans -- the 2015–16 El Niño triggered the most extensive global bleaching event on record at the time.</w:t>
      </w:r>
    </w:p>
    <w:p w14:paraId="542F8D06" w14:textId="77777777" w:rsidR="00302EB5" w:rsidRDefault="00000000">
      <w:r>
        <w:rPr>
          <w:b/>
        </w:rPr>
        <w:t>La Niña tends to bring:</w:t>
      </w:r>
    </w:p>
    <w:p w14:paraId="3F41FE6A" w14:textId="77777777" w:rsidR="00302EB5" w:rsidRDefault="00000000">
      <w:pPr>
        <w:pStyle w:val="ListBullet"/>
      </w:pPr>
      <w:r>
        <w:t>Wetter conditions across Indonesia, the Maritime Continent, and eastern Australia -- raising flood risk.</w:t>
      </w:r>
    </w:p>
    <w:p w14:paraId="61C9FD2D" w14:textId="77777777" w:rsidR="00302EB5" w:rsidRDefault="00000000">
      <w:pPr>
        <w:pStyle w:val="ListBullet"/>
      </w:pPr>
      <w:r>
        <w:t>Drought risk in parts of the southern USA, the Horn of Africa, and along the South American Pacific coast.</w:t>
      </w:r>
    </w:p>
    <w:p w14:paraId="1D028AEE" w14:textId="77777777" w:rsidR="00302EB5" w:rsidRDefault="00000000">
      <w:pPr>
        <w:pStyle w:val="ListBullet"/>
      </w:pPr>
      <w:r>
        <w:t>A more active Atlantic hurricane season.</w:t>
      </w:r>
    </w:p>
    <w:p w14:paraId="05988F4D" w14:textId="77777777" w:rsidR="00302EB5" w:rsidRDefault="00000000">
      <w:r>
        <w:t>These are tendencies, not certainties -- ENSO shifts the odds, it does not guarantee any single outcome, and that nuance is itself worth capturing in your own report.</w:t>
      </w:r>
    </w:p>
    <w:p w14:paraId="48BE3159" w14:textId="77777777" w:rsidR="00302EB5" w:rsidRDefault="00000000">
      <w:pPr>
        <w:pStyle w:val="Heading2"/>
      </w:pPr>
      <w:r>
        <w:t>What you will learn</w:t>
      </w:r>
    </w:p>
    <w:p w14:paraId="4377FBE6" w14:textId="77777777" w:rsidR="00302EB5" w:rsidRDefault="00000000">
      <w:pPr>
        <w:pStyle w:val="ListBullet"/>
      </w:pPr>
      <w:r>
        <w:t>how reanalysis data can be used to study the atmosphere;</w:t>
      </w:r>
    </w:p>
    <w:p w14:paraId="6D0774DA" w14:textId="77777777" w:rsidR="00302EB5" w:rsidRDefault="00000000">
      <w:pPr>
        <w:pStyle w:val="ListBullet"/>
      </w:pPr>
      <w:r>
        <w:t>how climatologies and anomalies are constructed;</w:t>
      </w:r>
    </w:p>
    <w:p w14:paraId="521AC847" w14:textId="77777777" w:rsidR="00302EB5" w:rsidRDefault="00000000">
      <w:pPr>
        <w:pStyle w:val="ListBullet"/>
      </w:pPr>
      <w:r>
        <w:t>how ENSO can be represented using ONI;</w:t>
      </w:r>
    </w:p>
    <w:p w14:paraId="68823A03" w14:textId="77777777" w:rsidR="00302EB5" w:rsidRDefault="00000000">
      <w:pPr>
        <w:pStyle w:val="ListBullet"/>
      </w:pPr>
      <w:r>
        <w:t>how composites and correlations answer different questions;</w:t>
      </w:r>
    </w:p>
    <w:p w14:paraId="66F86658" w14:textId="77777777" w:rsidR="00302EB5" w:rsidRDefault="00000000">
      <w:pPr>
        <w:pStyle w:val="ListBullet"/>
      </w:pPr>
      <w:r>
        <w:t>how to turn exploratory analysis into a small scientific investigation;</w:t>
      </w:r>
    </w:p>
    <w:p w14:paraId="627B3554" w14:textId="77777777" w:rsidR="00302EB5" w:rsidRDefault="00000000">
      <w:pPr>
        <w:pStyle w:val="ListBullet"/>
      </w:pPr>
      <w:r>
        <w:t>how to write a concise scientific report around evidence.</w:t>
      </w:r>
    </w:p>
    <w:p w14:paraId="2BB9BEEB" w14:textId="77777777" w:rsidR="00302EB5" w:rsidRDefault="00000000">
      <w:pPr>
        <w:pStyle w:val="Heading2"/>
      </w:pPr>
      <w:r>
        <w:t>What you'll see when you open it</w:t>
      </w:r>
    </w:p>
    <w:p w14:paraId="0FDE0A53" w14:textId="77777777" w:rsidR="00302EB5" w:rsidRDefault="00000000">
      <w:r>
        <w:t>These are real screenshots of the notebook running (on test data, to check everything works end to end) — so you know what to expect before you open the real thing on Binder.</w:t>
      </w:r>
    </w:p>
    <w:p w14:paraId="543EDA88" w14:textId="77777777" w:rsidR="00302EB5" w:rsidRDefault="00000000">
      <w:pPr>
        <w:jc w:val="center"/>
      </w:pPr>
      <w:r>
        <w:rPr>
          <w:noProof/>
        </w:rPr>
        <w:lastRenderedPageBreak/>
        <w:drawing>
          <wp:inline distT="0" distB="0" distL="0" distR="0" wp14:anchorId="7BB33E21" wp14:editId="2663683C">
            <wp:extent cx="5486400" cy="38654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shot_intro.png"/>
                    <pic:cNvPicPr/>
                  </pic:nvPicPr>
                  <pic:blipFill>
                    <a:blip r:embed="rId9"/>
                    <a:stretch>
                      <a:fillRect/>
                    </a:stretch>
                  </pic:blipFill>
                  <pic:spPr>
                    <a:xfrm>
                      <a:off x="0" y="0"/>
                      <a:ext cx="5486400" cy="3865418"/>
                    </a:xfrm>
                    <a:prstGeom prst="rect">
                      <a:avLst/>
                    </a:prstGeom>
                  </pic:spPr>
                </pic:pic>
              </a:graphicData>
            </a:graphic>
          </wp:inline>
        </w:drawing>
      </w:r>
    </w:p>
    <w:p w14:paraId="0A527F15" w14:textId="77777777" w:rsidR="00302EB5" w:rsidRDefault="00000000">
      <w:pPr>
        <w:jc w:val="center"/>
      </w:pPr>
      <w:r>
        <w:rPr>
          <w:i/>
          <w:color w:val="595959"/>
          <w:sz w:val="19"/>
        </w:rPr>
        <w:t>The notebook opens with the brief and a table of CORE / EXPLORE / OPTIONAL tags.</w:t>
      </w:r>
    </w:p>
    <w:p w14:paraId="19E1FCC8" w14:textId="77777777" w:rsidR="00302EB5" w:rsidRDefault="00302EB5"/>
    <w:p w14:paraId="0DAB4852" w14:textId="77777777" w:rsidR="00302EB5" w:rsidRDefault="00000000">
      <w:pPr>
        <w:jc w:val="center"/>
      </w:pPr>
      <w:r>
        <w:rPr>
          <w:noProof/>
        </w:rPr>
        <w:drawing>
          <wp:inline distT="0" distB="0" distL="0" distR="0" wp14:anchorId="4EA27D05" wp14:editId="4AA2FDA3">
            <wp:extent cx="5486400" cy="14131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shot_loaddata.png"/>
                    <pic:cNvPicPr/>
                  </pic:nvPicPr>
                  <pic:blipFill>
                    <a:blip r:embed="rId10"/>
                    <a:stretch>
                      <a:fillRect/>
                    </a:stretch>
                  </pic:blipFill>
                  <pic:spPr>
                    <a:xfrm>
                      <a:off x="0" y="0"/>
                      <a:ext cx="5486400" cy="1413164"/>
                    </a:xfrm>
                    <a:prstGeom prst="rect">
                      <a:avLst/>
                    </a:prstGeom>
                  </pic:spPr>
                </pic:pic>
              </a:graphicData>
            </a:graphic>
          </wp:inline>
        </w:drawing>
      </w:r>
    </w:p>
    <w:p w14:paraId="7F022616" w14:textId="77777777" w:rsidR="00302EB5" w:rsidRDefault="00000000">
      <w:pPr>
        <w:jc w:val="center"/>
      </w:pPr>
      <w:r>
        <w:rPr>
          <w:i/>
          <w:color w:val="595959"/>
          <w:sz w:val="19"/>
        </w:rPr>
        <w:t>Section 0b loads the data once and confirms it worked, before any analysis runs.</w:t>
      </w:r>
    </w:p>
    <w:p w14:paraId="107C11F5" w14:textId="77777777" w:rsidR="00302EB5" w:rsidRDefault="00302EB5"/>
    <w:p w14:paraId="02C99024" w14:textId="77777777" w:rsidR="00302EB5" w:rsidRDefault="00000000">
      <w:pPr>
        <w:jc w:val="center"/>
      </w:pPr>
      <w:r>
        <w:rPr>
          <w:noProof/>
        </w:rPr>
        <w:lastRenderedPageBreak/>
        <w:drawing>
          <wp:inline distT="0" distB="0" distL="0" distR="0" wp14:anchorId="69E9215E" wp14:editId="2FB1F41B">
            <wp:extent cx="5486400" cy="38654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shot_maps.png"/>
                    <pic:cNvPicPr/>
                  </pic:nvPicPr>
                  <pic:blipFill>
                    <a:blip r:embed="rId11"/>
                    <a:stretch>
                      <a:fillRect/>
                    </a:stretch>
                  </pic:blipFill>
                  <pic:spPr>
                    <a:xfrm>
                      <a:off x="0" y="0"/>
                      <a:ext cx="5486400" cy="3865418"/>
                    </a:xfrm>
                    <a:prstGeom prst="rect">
                      <a:avLst/>
                    </a:prstGeom>
                  </pic:spPr>
                </pic:pic>
              </a:graphicData>
            </a:graphic>
          </wp:inline>
        </w:drawing>
      </w:r>
    </w:p>
    <w:p w14:paraId="09AB6808" w14:textId="77777777" w:rsidR="00302EB5" w:rsidRDefault="00000000">
      <w:pPr>
        <w:jc w:val="center"/>
      </w:pPr>
      <w:r>
        <w:rPr>
          <w:i/>
          <w:color w:val="595959"/>
          <w:sz w:val="19"/>
        </w:rPr>
        <w:t>Section 2's global maps are the ones you'll use to spot a pattern worth investigating.</w:t>
      </w:r>
    </w:p>
    <w:p w14:paraId="0FC2C22B" w14:textId="77777777" w:rsidR="00302EB5" w:rsidRDefault="00302EB5"/>
    <w:p w14:paraId="3D9FAC20" w14:textId="77777777" w:rsidR="00302EB5" w:rsidRDefault="00000000">
      <w:pPr>
        <w:jc w:val="center"/>
      </w:pPr>
      <w:r>
        <w:rPr>
          <w:noProof/>
        </w:rPr>
        <w:drawing>
          <wp:inline distT="0" distB="0" distL="0" distR="0" wp14:anchorId="58EE8B4B" wp14:editId="5262B421">
            <wp:extent cx="5486400" cy="28055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shot_choose.png"/>
                    <pic:cNvPicPr/>
                  </pic:nvPicPr>
                  <pic:blipFill>
                    <a:blip r:embed="rId12"/>
                    <a:stretch>
                      <a:fillRect/>
                    </a:stretch>
                  </pic:blipFill>
                  <pic:spPr>
                    <a:xfrm>
                      <a:off x="0" y="0"/>
                      <a:ext cx="5486400" cy="2805546"/>
                    </a:xfrm>
                    <a:prstGeom prst="rect">
                      <a:avLst/>
                    </a:prstGeom>
                  </pic:spPr>
                </pic:pic>
              </a:graphicData>
            </a:graphic>
          </wp:inline>
        </w:drawing>
      </w:r>
    </w:p>
    <w:p w14:paraId="319B2147" w14:textId="77777777" w:rsidR="00302EB5" w:rsidRDefault="00000000">
      <w:pPr>
        <w:jc w:val="center"/>
      </w:pPr>
      <w:r>
        <w:rPr>
          <w:i/>
          <w:color w:val="595959"/>
          <w:sz w:val="19"/>
        </w:rPr>
        <w:t>The STOP cell is where you commit to one question before doing more analysis.</w:t>
      </w:r>
    </w:p>
    <w:p w14:paraId="27587444" w14:textId="77777777" w:rsidR="00302EB5" w:rsidRDefault="00302EB5"/>
    <w:p w14:paraId="07711585" w14:textId="77777777" w:rsidR="00302EB5" w:rsidRDefault="00000000">
      <w:pPr>
        <w:pStyle w:val="Heading1"/>
      </w:pPr>
      <w:r>
        <w:lastRenderedPageBreak/>
        <w:t>2. The science: ERA5 and reanalysis</w:t>
      </w:r>
    </w:p>
    <w:p w14:paraId="1853475E" w14:textId="77777777" w:rsidR="00302EB5" w:rsidRDefault="00000000">
      <w:r>
        <w:rPr>
          <w:noProof/>
        </w:rPr>
        <w:drawing>
          <wp:inline distT="0" distB="0" distL="0" distR="0" wp14:anchorId="2FA547CE" wp14:editId="72C0804D">
            <wp:extent cx="5669280" cy="26947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nalysis_better.png"/>
                    <pic:cNvPicPr/>
                  </pic:nvPicPr>
                  <pic:blipFill>
                    <a:blip r:embed="rId13"/>
                    <a:stretch>
                      <a:fillRect/>
                    </a:stretch>
                  </pic:blipFill>
                  <pic:spPr>
                    <a:xfrm>
                      <a:off x="0" y="0"/>
                      <a:ext cx="5669280" cy="2694740"/>
                    </a:xfrm>
                    <a:prstGeom prst="rect">
                      <a:avLst/>
                    </a:prstGeom>
                  </pic:spPr>
                </pic:pic>
              </a:graphicData>
            </a:graphic>
          </wp:inline>
        </w:drawing>
      </w:r>
    </w:p>
    <w:p w14:paraId="4DE58F87" w14:textId="77777777" w:rsidR="00302EB5" w:rsidRDefault="00000000">
      <w:r>
        <w:t>ERA5 is ECMWF's fifth-generation atmospheric reanalysis. Reanalysis combines observations with a numerical weather prediction model through data assimilation to produce a globally complete and physically consistent estimate of the atmosphere. ERA5 is available from 1940 onwards; the project uses a much shorter set of monthly data already prepared for you.</w:t>
      </w:r>
    </w:p>
    <w:p w14:paraId="7AC01896" w14:textId="77777777" w:rsidR="00302EB5" w:rsidRDefault="00000000">
      <w:r>
        <w:t>Data source: ERA5, produced by the Copernicus Climate Change Service at ECMWF.</w:t>
      </w:r>
    </w:p>
    <w:p w14:paraId="367C3DEF" w14:textId="77777777" w:rsidR="00302EB5" w:rsidRDefault="00000000">
      <w:pPr>
        <w:pStyle w:val="Heading1"/>
      </w:pPr>
      <w:r>
        <w:t>3. The science: ENSO and clouds</w:t>
      </w:r>
    </w:p>
    <w:p w14:paraId="5760D503" w14:textId="77777777" w:rsidR="00302EB5" w:rsidRDefault="00000000">
      <w:r>
        <w:rPr>
          <w:noProof/>
        </w:rPr>
        <w:drawing>
          <wp:inline distT="0" distB="0" distL="0" distR="0" wp14:anchorId="5E06FB56" wp14:editId="4CE50BB3">
            <wp:extent cx="5715000" cy="34699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lker_course_schematic.png"/>
                    <pic:cNvPicPr/>
                  </pic:nvPicPr>
                  <pic:blipFill>
                    <a:blip r:embed="rId14"/>
                    <a:stretch>
                      <a:fillRect/>
                    </a:stretch>
                  </pic:blipFill>
                  <pic:spPr>
                    <a:xfrm>
                      <a:off x="0" y="0"/>
                      <a:ext cx="5715000" cy="3469931"/>
                    </a:xfrm>
                    <a:prstGeom prst="rect">
                      <a:avLst/>
                    </a:prstGeom>
                  </pic:spPr>
                </pic:pic>
              </a:graphicData>
            </a:graphic>
          </wp:inline>
        </w:drawing>
      </w:r>
    </w:p>
    <w:p w14:paraId="38D8B01A" w14:textId="77777777" w:rsidR="00302EB5" w:rsidRDefault="00000000">
      <w:r>
        <w:t>ENSO is coupled ocean–atmosphere variability in the tropical Pacific. During El Niño, warmer-than-average central/eastern tropical Pacific water is associated with a reorganisation of the Walker circulation: rising motion, convection and rainfall shift towards the central/eastern Pacific, while convection is reduced over parts of the western Pacific/Maritime Continent. La Niña tends towards the opposite pattern.</w:t>
      </w:r>
    </w:p>
    <w:p w14:paraId="6BE8B161" w14:textId="77777777" w:rsidR="00302EB5" w:rsidRDefault="00000000">
      <w:r>
        <w:lastRenderedPageBreak/>
        <w:t>This gives a physical reason to investigate cloud. Changes in vertical motion, convection, moisture and atmospheric stability can change both the amount and the type of cloud.</w:t>
      </w:r>
    </w:p>
    <w:p w14:paraId="58E9D192" w14:textId="77777777" w:rsidR="00302EB5" w:rsidRDefault="00000000">
      <w:pPr>
        <w:pStyle w:val="Heading2"/>
      </w:pPr>
      <w:r>
        <w:t>ONI</w:t>
      </w:r>
    </w:p>
    <w:p w14:paraId="1D19A722" w14:textId="77777777" w:rsidR="00302EB5" w:rsidRDefault="00000000">
      <w:r>
        <w:t>The Oceanic Niño Index (ONI) is a three-month running mean sea-surface-temperature anomaly in the Niño 3.4 region (5°N–5°S, 170°W–120°W). The project uses ONI as a convenient measure of ENSO variability. NOAA's historical ONI tables use ±0.5 °C thresholds with persistence criteria to identify warm and cold episodes. NOAA now uses the Relative Oceanic Niño Index (RONI) for official real-time monitoring, but ONI remains appropriate for this historical teaching analysis.</w:t>
      </w:r>
    </w:p>
    <w:p w14:paraId="7C2D75B3" w14:textId="77777777" w:rsidR="00302EB5" w:rsidRDefault="00000000">
      <w:pPr>
        <w:pStyle w:val="Heading1"/>
      </w:pPr>
      <w:r>
        <w:t>4. Clouds are not all the same</w:t>
      </w:r>
    </w:p>
    <w:p w14:paraId="770956A0" w14:textId="77777777" w:rsidR="00302EB5" w:rsidRDefault="00000000">
      <w:r>
        <w:rPr>
          <w:noProof/>
        </w:rPr>
        <w:drawing>
          <wp:inline distT="0" distB="0" distL="0" distR="0" wp14:anchorId="09FEBCBB" wp14:editId="0C9AF83A">
            <wp:extent cx="5486400" cy="29849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ud_levels.png"/>
                    <pic:cNvPicPr/>
                  </pic:nvPicPr>
                  <pic:blipFill>
                    <a:blip r:embed="rId15"/>
                    <a:stretch>
                      <a:fillRect/>
                    </a:stretch>
                  </pic:blipFill>
                  <pic:spPr>
                    <a:xfrm>
                      <a:off x="0" y="0"/>
                      <a:ext cx="5486400" cy="2984913"/>
                    </a:xfrm>
                    <a:prstGeom prst="rect">
                      <a:avLst/>
                    </a:prstGeom>
                  </pic:spPr>
                </pic:pic>
              </a:graphicData>
            </a:graphic>
          </wp:inline>
        </w:drawing>
      </w:r>
    </w:p>
    <w:p w14:paraId="3C4D290B" w14:textId="77777777" w:rsidR="00302EB5" w:rsidRDefault="00000000">
      <w:r>
        <w:t>The core notebook introduces total cloud cover (TCC), but the data also include low, medium and high cloud cover. These can respond differently because they are associated with different atmospheric processes. Low marine cloud is strongly affected by boundary-layer stability and subsidence; high tropical cloud is often associated with deep convection.</w:t>
      </w:r>
    </w:p>
    <w:p w14:paraId="772C5AA4" w14:textId="77777777" w:rsidR="00302EB5" w:rsidRDefault="00000000">
      <w:r>
        <w:t>This is one of several ways to make the project your own.</w:t>
      </w:r>
    </w:p>
    <w:p w14:paraId="7B9E4900" w14:textId="77777777" w:rsidR="00302EB5" w:rsidRDefault="00000000">
      <w:pPr>
        <w:pStyle w:val="Heading1"/>
      </w:pPr>
      <w:r>
        <w:t>5. The core analysis ideas</w:t>
      </w:r>
    </w:p>
    <w:p w14:paraId="026375C5" w14:textId="77777777" w:rsidR="00302EB5" w:rsidRDefault="00000000">
      <w:pPr>
        <w:pStyle w:val="Heading2"/>
      </w:pPr>
      <w:r>
        <w:t>5.1 Area-weighted means</w:t>
      </w:r>
    </w:p>
    <w:p w14:paraId="3CA9C847" w14:textId="77777777" w:rsidR="00302EB5" w:rsidRDefault="00000000">
      <w:r>
        <w:t>On a regular latitude–longitude grid, grid boxes represent less physical area towards the poles. Use a latitude weight proportional to cos(latitude):</w:t>
      </w:r>
    </w:p>
    <w:p w14:paraId="58753119" w14:textId="77777777" w:rsidR="00302EB5" w:rsidRDefault="00000000">
      <w:pPr>
        <w:pStyle w:val="IntenseQuote"/>
      </w:pPr>
      <w:r>
        <w:t>X̄ = Σ Xi cos(φi) / Σ cos(φi)</w:t>
      </w:r>
    </w:p>
    <w:p w14:paraId="22E96CBE" w14:textId="77777777" w:rsidR="00302EB5" w:rsidRDefault="00000000">
      <w:pPr>
        <w:pStyle w:val="Heading2"/>
      </w:pPr>
      <w:r>
        <w:lastRenderedPageBreak/>
        <w:t>5.2 Climatology and anomalies</w:t>
      </w:r>
    </w:p>
    <w:p w14:paraId="6FFD74A3" w14:textId="77777777" w:rsidR="00302EB5" w:rsidRDefault="00000000">
      <w:r>
        <w:rPr>
          <w:noProof/>
        </w:rPr>
        <w:drawing>
          <wp:inline distT="0" distB="0" distL="0" distR="0" wp14:anchorId="30317594" wp14:editId="7478848E">
            <wp:extent cx="5394960" cy="28339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y_better.png"/>
                    <pic:cNvPicPr/>
                  </pic:nvPicPr>
                  <pic:blipFill>
                    <a:blip r:embed="rId16"/>
                    <a:stretch>
                      <a:fillRect/>
                    </a:stretch>
                  </pic:blipFill>
                  <pic:spPr>
                    <a:xfrm>
                      <a:off x="0" y="0"/>
                      <a:ext cx="5394960" cy="2833955"/>
                    </a:xfrm>
                    <a:prstGeom prst="rect">
                      <a:avLst/>
                    </a:prstGeom>
                  </pic:spPr>
                </pic:pic>
              </a:graphicData>
            </a:graphic>
          </wp:inline>
        </w:drawing>
      </w:r>
    </w:p>
    <w:p w14:paraId="69707338" w14:textId="77777777" w:rsidR="00302EB5" w:rsidRDefault="00000000">
      <w:r>
        <w:t>A monthly climatology is the usual value for each calendar month. An anomaly removes that normal seasonal cycle:</w:t>
      </w:r>
    </w:p>
    <w:p w14:paraId="1A011BAA" w14:textId="77777777" w:rsidR="00302EB5" w:rsidRDefault="00000000">
      <w:pPr>
        <w:pStyle w:val="IntenseQuote"/>
      </w:pPr>
      <w:r>
        <w:t>X′(t) = X(t) − X̄calendar month</w:t>
      </w:r>
    </w:p>
    <w:p w14:paraId="378F06F3" w14:textId="77777777" w:rsidR="00302EB5" w:rsidRDefault="00000000">
      <w:r>
        <w:t>A positive January TCC anomaly means cloudier than the usual January at that location.</w:t>
      </w:r>
    </w:p>
    <w:p w14:paraId="050A68FB" w14:textId="77777777" w:rsidR="00302EB5" w:rsidRDefault="00000000">
      <w:pPr>
        <w:pStyle w:val="Heading2"/>
      </w:pPr>
      <w:r>
        <w:t>5.3 Composite versus correlation</w:t>
      </w:r>
    </w:p>
    <w:p w14:paraId="7B6A0A58" w14:textId="77777777" w:rsidR="00302EB5" w:rsidRDefault="00000000">
      <w:r>
        <w:rPr>
          <w:noProof/>
        </w:rPr>
        <w:drawing>
          <wp:inline distT="0" distB="0" distL="0" distR="0" wp14:anchorId="4E823AF7" wp14:editId="751CE779">
            <wp:extent cx="5486400" cy="24644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s_correlation.png"/>
                    <pic:cNvPicPr/>
                  </pic:nvPicPr>
                  <pic:blipFill>
                    <a:blip r:embed="rId17"/>
                    <a:stretch>
                      <a:fillRect/>
                    </a:stretch>
                  </pic:blipFill>
                  <pic:spPr>
                    <a:xfrm>
                      <a:off x="0" y="0"/>
                      <a:ext cx="5486400" cy="2464413"/>
                    </a:xfrm>
                    <a:prstGeom prst="rect">
                      <a:avLst/>
                    </a:prstGeom>
                  </pic:spPr>
                </pic:pic>
              </a:graphicData>
            </a:graphic>
          </wp:inline>
        </w:drawing>
      </w:r>
    </w:p>
    <w:p w14:paraId="2E1BD5C5" w14:textId="77777777" w:rsidR="00302EB5" w:rsidRDefault="00000000">
      <w:r>
        <w:t>An El Niño − La Niña composite compares the average cloud anomaly in two groups of months. Correlation instead uses the continuous variation of ONI and cloud anomaly. They are related, but they do not ask exactly the same question.</w:t>
      </w:r>
    </w:p>
    <w:p w14:paraId="7CE4AD85" w14:textId="77777777" w:rsidR="00302EB5" w:rsidRDefault="00000000">
      <w:pPr>
        <w:pStyle w:val="IntenseQuote"/>
      </w:pPr>
      <w:r>
        <w:t>Composite: ΔX = mean(X′El Niño) − mean(X′La Niña)</w:t>
      </w:r>
    </w:p>
    <w:p w14:paraId="6BE1C80A" w14:textId="77777777" w:rsidR="00302EB5" w:rsidRDefault="00000000">
      <w:pPr>
        <w:pStyle w:val="IntenseQuote"/>
      </w:pPr>
      <w:r>
        <w:t>Correlation: r = corr(X′, ONI)</w:t>
      </w:r>
    </w:p>
    <w:p w14:paraId="4FC42A15" w14:textId="77777777" w:rsidR="00302EB5" w:rsidRDefault="00000000">
      <w:pPr>
        <w:pStyle w:val="Heading2"/>
      </w:pPr>
      <w:r>
        <w:lastRenderedPageBreak/>
        <w:t>5.4 Optional tools</w:t>
      </w:r>
    </w:p>
    <w:p w14:paraId="338F4A9C" w14:textId="77777777" w:rsidR="00302EB5" w:rsidRDefault="00000000">
      <w:r>
        <w:t>Regional regression, autocorrelation, seasonal analysis and lead/lag analysis are available in the notebook. They are tools you may use if they help answer your question; they are not compulsory report sections.</w:t>
      </w:r>
    </w:p>
    <w:p w14:paraId="1B2E1A7E" w14:textId="77777777" w:rsidR="00302EB5" w:rsidRDefault="00000000">
      <w:pPr>
        <w:pStyle w:val="Heading1"/>
      </w:pPr>
      <w:r>
        <w:t>6. Choosing your investigation</w:t>
      </w:r>
    </w:p>
    <w:p w14:paraId="52BB02C1" w14:textId="77777777" w:rsidR="00302EB5" w:rsidRDefault="00000000">
      <w:r>
        <w:rPr>
          <w:noProof/>
        </w:rPr>
        <w:drawing>
          <wp:inline distT="0" distB="0" distL="0" distR="0" wp14:anchorId="70E913AD" wp14:editId="38A4C451">
            <wp:extent cx="5486400" cy="27513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unnel_better.png"/>
                    <pic:cNvPicPr/>
                  </pic:nvPicPr>
                  <pic:blipFill>
                    <a:blip r:embed="rId8"/>
                    <a:stretch>
                      <a:fillRect/>
                    </a:stretch>
                  </pic:blipFill>
                  <pic:spPr>
                    <a:xfrm>
                      <a:off x="0" y="0"/>
                      <a:ext cx="5486400" cy="2751311"/>
                    </a:xfrm>
                    <a:prstGeom prst="rect">
                      <a:avLst/>
                    </a:prstGeom>
                  </pic:spPr>
                </pic:pic>
              </a:graphicData>
            </a:graphic>
          </wp:inline>
        </w:drawing>
      </w:r>
    </w:p>
    <w:p w14:paraId="6B657BAE" w14:textId="77777777" w:rsidR="00302EB5" w:rsidRDefault="00000000">
      <w:r>
        <w:t>Start by exploring the core analyses. When something catches your attention, narrow down. A good question usually specifies a cloud type, region, season, or timing relationship.</w:t>
      </w:r>
    </w:p>
    <w:p w14:paraId="2F46ACAF" w14:textId="77777777" w:rsidR="00302EB5" w:rsidRDefault="00000000">
      <w:pPr>
        <w:pStyle w:val="ListBullet"/>
      </w:pPr>
      <w:r>
        <w:t>How does ENSO affect low cloud in the southeast Pacific?</w:t>
      </w:r>
    </w:p>
    <w:p w14:paraId="455B93C2" w14:textId="77777777" w:rsidR="00302EB5" w:rsidRDefault="00000000">
      <w:pPr>
        <w:pStyle w:val="ListBullet"/>
      </w:pPr>
      <w:r>
        <w:t>Is the ENSO relationship stronger in high cloud than low cloud in the tropical Pacific?</w:t>
      </w:r>
    </w:p>
    <w:p w14:paraId="65405FAD" w14:textId="77777777" w:rsidR="00302EB5" w:rsidRDefault="00000000">
      <w:pPr>
        <w:pStyle w:val="ListBullet"/>
      </w:pPr>
      <w:r>
        <w:t>Do the Maritime Continent and central Pacific show contrasting cloud responses?</w:t>
      </w:r>
    </w:p>
    <w:p w14:paraId="71A366C2" w14:textId="77777777" w:rsidR="00302EB5" w:rsidRDefault="00000000">
      <w:pPr>
        <w:pStyle w:val="ListBullet"/>
      </w:pPr>
      <w:r>
        <w:t>Does the cloud response appear simultaneous with ONI or delayed?</w:t>
      </w:r>
    </w:p>
    <w:p w14:paraId="24AA046F" w14:textId="77777777" w:rsidR="00302EB5" w:rsidRDefault="00000000">
      <w:pPr>
        <w:pStyle w:val="ListBullet"/>
      </w:pPr>
      <w:r>
        <w:t>Does the relationship differ between seasons?</w:t>
      </w:r>
    </w:p>
    <w:p w14:paraId="2978D5A4" w14:textId="77777777" w:rsidR="00302EB5" w:rsidRDefault="00000000">
      <w:r>
        <w:t>These are examples, not prescribed topics. You are encouraged to follow an interesting pattern you notice yourself.</w:t>
      </w:r>
    </w:p>
    <w:p w14:paraId="1BA8BAB7" w14:textId="77777777" w:rsidR="00302EB5" w:rsidRDefault="00000000">
      <w:pPr>
        <w:pStyle w:val="Heading1"/>
      </w:pPr>
      <w:r>
        <w:t>7. The report: tell one scientific story</w:t>
      </w:r>
    </w:p>
    <w:p w14:paraId="330FB28F" w14:textId="77777777" w:rsidR="00302EB5" w:rsidRDefault="00000000">
      <w:r>
        <w:rPr>
          <w:noProof/>
        </w:rPr>
        <w:drawing>
          <wp:inline distT="0" distB="0" distL="0" distR="0" wp14:anchorId="240C23A1" wp14:editId="00BFA6EB">
            <wp:extent cx="5669280" cy="235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tructure.png"/>
                    <pic:cNvPicPr/>
                  </pic:nvPicPr>
                  <pic:blipFill>
                    <a:blip r:embed="rId18"/>
                    <a:stretch>
                      <a:fillRect/>
                    </a:stretch>
                  </pic:blipFill>
                  <pic:spPr>
                    <a:xfrm>
                      <a:off x="0" y="0"/>
                      <a:ext cx="5669280" cy="2355568"/>
                    </a:xfrm>
                    <a:prstGeom prst="rect">
                      <a:avLst/>
                    </a:prstGeom>
                  </pic:spPr>
                </pic:pic>
              </a:graphicData>
            </a:graphic>
          </wp:inline>
        </w:drawing>
      </w:r>
    </w:p>
    <w:p w14:paraId="7C41D4A3" w14:textId="77777777" w:rsidR="00302EB5" w:rsidRDefault="00000000">
      <w:r>
        <w:lastRenderedPageBreak/>
        <w:t>The report is not a record of the order in which you ran the notebook. Every section should contribute to answering the same research question.</w:t>
      </w:r>
    </w:p>
    <w:p w14:paraId="0487765E" w14:textId="77777777" w:rsidR="00302EB5" w:rsidRDefault="00000000">
      <w:pPr>
        <w:pStyle w:val="Heading2"/>
      </w:pPr>
      <w:r>
        <w:t>7.1 Introduction</w:t>
      </w:r>
    </w:p>
    <w:p w14:paraId="5BD49F15" w14:textId="77777777" w:rsidR="00302EB5" w:rsidRDefault="00000000">
      <w:r>
        <w:t>Move from broad to specific: ENSO → why ENSO could affect clouds → the cloud type/region/process you chose → your research question. End the Introduction with a clear question and, where useful, a hypothesis.</w:t>
      </w:r>
    </w:p>
    <w:p w14:paraId="06E7C58B" w14:textId="77777777" w:rsidR="00302EB5" w:rsidRDefault="00000000">
      <w:pPr>
        <w:pStyle w:val="Heading2"/>
      </w:pPr>
      <w:r>
        <w:t>7.2 Methods</w:t>
      </w:r>
    </w:p>
    <w:p w14:paraId="049221F8" w14:textId="77777777" w:rsidR="00302EB5" w:rsidRDefault="00000000">
      <w:r>
        <w:t>Describe the data and only the methods you actually use: ERA5 variable(s), analysis period, spatial region, ONI, anomaly calculation, weighting and relevant statistics. Explain the scientific method, not the Python commands. Do not paste code.</w:t>
      </w:r>
    </w:p>
    <w:p w14:paraId="752DCA9B" w14:textId="77777777" w:rsidR="00302EB5" w:rsidRDefault="00000000">
      <w:pPr>
        <w:pStyle w:val="Heading2"/>
      </w:pPr>
      <w:r>
        <w:t>7.3 Results</w:t>
      </w:r>
    </w:p>
    <w:p w14:paraId="78C2A041" w14:textId="77777777" w:rsidR="00302EB5" w:rsidRDefault="00000000">
      <w:r>
        <w:rPr>
          <w:noProof/>
        </w:rPr>
        <w:drawing>
          <wp:inline distT="0" distB="0" distL="0" distR="0" wp14:anchorId="5373272A" wp14:editId="03B24D08">
            <wp:extent cx="5486400" cy="25929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_discussion_better.png"/>
                    <pic:cNvPicPr/>
                  </pic:nvPicPr>
                  <pic:blipFill>
                    <a:blip r:embed="rId19"/>
                    <a:stretch>
                      <a:fillRect/>
                    </a:stretch>
                  </pic:blipFill>
                  <pic:spPr>
                    <a:xfrm>
                      <a:off x="0" y="0"/>
                      <a:ext cx="5486400" cy="2592977"/>
                    </a:xfrm>
                    <a:prstGeom prst="rect">
                      <a:avLst/>
                    </a:prstGeom>
                  </pic:spPr>
                </pic:pic>
              </a:graphicData>
            </a:graphic>
          </wp:inline>
        </w:drawing>
      </w:r>
    </w:p>
    <w:p w14:paraId="5D8AD8DE" w14:textId="77777777" w:rsidR="00302EB5" w:rsidRDefault="00000000">
      <w:r>
        <w:t>Results answer: what did you find? Use 3–5 selected figures. Describe sign, magnitude, location and contrasts. Refer to every figure in the text. Avoid simply saying 'Figure 2 shows a correlation'.</w:t>
      </w:r>
    </w:p>
    <w:p w14:paraId="32AEB536" w14:textId="77777777" w:rsidR="00302EB5" w:rsidRDefault="00000000">
      <w:pPr>
        <w:pStyle w:val="Heading2"/>
      </w:pPr>
      <w:r>
        <w:t>7.4 Discussion</w:t>
      </w:r>
    </w:p>
    <w:p w14:paraId="736A960E" w14:textId="77777777" w:rsidR="00302EB5" w:rsidRDefault="00000000">
      <w:r>
        <w:t>Discussion answers: what does it mean? Use atmospheric science to explain the pattern. Depending on your question, useful ideas might include the Walker circulation, convection, subsidence, moisture, boundary-layer stability and cloud regime. Compare analyses if they provide complementary evidence. Discuss limitations that genuinely matter.</w:t>
      </w:r>
    </w:p>
    <w:p w14:paraId="5B0B9530" w14:textId="77777777" w:rsidR="00302EB5" w:rsidRDefault="00000000">
      <w:pPr>
        <w:pStyle w:val="Heading2"/>
      </w:pPr>
      <w:r>
        <w:t>7.5 Conclusion</w:t>
      </w:r>
    </w:p>
    <w:p w14:paraId="66674740" w14:textId="77777777" w:rsidR="00302EB5" w:rsidRDefault="00000000">
      <w:r>
        <w:t>Answer your research question directly. Two or three concise take-home findings are usually enough. Do not introduce new results.</w:t>
      </w:r>
    </w:p>
    <w:p w14:paraId="232542E9" w14:textId="77777777" w:rsidR="00302EB5" w:rsidRDefault="00000000">
      <w:pPr>
        <w:pStyle w:val="Heading1"/>
      </w:pPr>
      <w:r>
        <w:t>8. Choosing and writing about figures</w:t>
      </w:r>
    </w:p>
    <w:p w14:paraId="6784A442" w14:textId="77777777" w:rsidR="00302EB5" w:rsidRDefault="00000000">
      <w:r>
        <w:t>Include a figure because it is evidence, not because the notebook produced it. A useful short report often has one context figure, one or two figures that directly test the question, and perhaps one supporting comparison.</w:t>
      </w:r>
    </w:p>
    <w:p w14:paraId="669E59FB" w14:textId="77777777" w:rsidR="00302EB5" w:rsidRDefault="00000000">
      <w:pPr>
        <w:pStyle w:val="Heading2"/>
      </w:pPr>
      <w:r>
        <w:t>A useful paragraph pattern</w:t>
      </w:r>
    </w:p>
    <w:p w14:paraId="63EEE280" w14:textId="77777777" w:rsidR="00302EB5" w:rsidRDefault="00000000">
      <w:pPr>
        <w:pStyle w:val="IntenseQuote"/>
      </w:pPr>
      <w:r>
        <w:t>Claim → evidence from the figure → physical interpretation → qualification/limitation.</w:t>
      </w:r>
    </w:p>
    <w:p w14:paraId="5E742D0D" w14:textId="77777777" w:rsidR="00302EB5" w:rsidRDefault="00000000">
      <w:pPr>
        <w:pStyle w:val="Heading2"/>
      </w:pPr>
      <w:r>
        <w:lastRenderedPageBreak/>
        <w:t>Reporting numbers well (and how not to)</w:t>
      </w:r>
    </w:p>
    <w:p w14:paraId="29F142C9" w14:textId="77777777" w:rsidR="00302EB5" w:rsidRDefault="00000000">
      <w:r>
        <w:t>Your report will be full of numbers -- correlations, differences, percentages, dates, thresholds. How you report them affects your mark just as much as which analysis you chose to run.</w:t>
      </w:r>
    </w:p>
    <w:p w14:paraId="279BE48D" w14:textId="77777777" w:rsidR="00302EB5" w:rsidRDefault="00000000">
      <w:r>
        <w:rPr>
          <w:b/>
        </w:rPr>
        <w:t>Do this:</w:t>
      </w:r>
    </w:p>
    <w:p w14:paraId="229BAC4C" w14:textId="77777777" w:rsidR="00302EB5" w:rsidRDefault="00000000">
      <w:pPr>
        <w:pStyle w:val="ListBullet"/>
      </w:pPr>
      <w:r>
        <w:t>Give the actual number, not just a direction. “Cloud cover was lower” tells the reader almost nothing; “cloud cover was 8% lower” does.</w:t>
      </w:r>
    </w:p>
    <w:p w14:paraId="492DA67E" w14:textId="77777777" w:rsidR="00302EB5" w:rsidRDefault="00000000">
      <w:pPr>
        <w:pStyle w:val="ListBullet"/>
      </w:pPr>
      <w:r>
        <w:t>Match precision to what the data can support. A ~40-year monthly ERA5 record does not support four significant figures -- one or two decimal places is usually plenty.</w:t>
      </w:r>
    </w:p>
    <w:p w14:paraId="7759032A" w14:textId="77777777" w:rsidR="00302EB5" w:rsidRDefault="00000000">
      <w:pPr>
        <w:pStyle w:val="ListBullet"/>
      </w:pPr>
      <w:r>
        <w:t>State the units and the baseline a number is relative to (e.g. “relative to the 1991–2020 climatology”, “El Niño defined as ONI &gt; 0.5°C for ≥5 consecutive months”).</w:t>
      </w:r>
    </w:p>
    <w:p w14:paraId="2CDB68D5" w14:textId="77777777" w:rsidR="00302EB5" w:rsidRDefault="00000000">
      <w:pPr>
        <w:pStyle w:val="ListBullet"/>
      </w:pPr>
      <w:r>
        <w:t>Say how many events, years or samples a number is based on. A correlation from 8 El Niño events reads very differently from one based on 40 years of monthly data.</w:t>
      </w:r>
    </w:p>
    <w:p w14:paraId="78516F8B" w14:textId="77777777" w:rsidR="00302EB5" w:rsidRDefault="00000000">
      <w:pPr>
        <w:pStyle w:val="ListBullet"/>
      </w:pPr>
      <w:r>
        <w:t>Report a measure of spread or confidence if you can, even informally. If you ran a significance test, name it and give the result (e.g. “p &lt; 0.05, two-tailed t-test”). If you did not run one, do not use “significant” in its statistical sense.</w:t>
      </w:r>
    </w:p>
    <w:p w14:paraId="6731223A" w14:textId="77777777" w:rsidR="00302EB5" w:rsidRDefault="00000000">
      <w:pPr>
        <w:pStyle w:val="ListBullet"/>
      </w:pPr>
      <w:r>
        <w:t>Keep correlation and causation separate in your own wording. “Cloud cover is correlated with ONI” is a description; “El Niño causes the change in cloud cover” is a mechanistic claim, and needs the physical link spelled out (that's exactly what Section 3 gives you).</w:t>
      </w:r>
    </w:p>
    <w:p w14:paraId="62FAF923" w14:textId="77777777" w:rsidR="00302EB5" w:rsidRDefault="00000000">
      <w:r>
        <w:rPr>
          <w:b/>
        </w:rPr>
        <w:t>Common mistakes (how not to):</w:t>
      </w:r>
    </w:p>
    <w:p w14:paraId="5134AD66" w14:textId="77777777" w:rsidR="00302EB5" w:rsidRDefault="00000000">
      <w:pPr>
        <w:pStyle w:val="ListBullet"/>
      </w:pPr>
      <w:r>
        <w:t>Quoting a correlation coefficient with no sample size or period given, so the reader cannot judge how much to trust it.</w:t>
      </w:r>
    </w:p>
    <w:p w14:paraId="6CECFB4B" w14:textId="77777777" w:rsidR="00302EB5" w:rsidRDefault="00000000">
      <w:pPr>
        <w:pStyle w:val="ListBullet"/>
      </w:pPr>
      <w:r>
        <w:t>Cherry-picking the one year or region that best fits the story, without saying you looked at the others and what they showed.</w:t>
      </w:r>
    </w:p>
    <w:p w14:paraId="5A7152E6" w14:textId="77777777" w:rsidR="00302EB5" w:rsidRDefault="00000000">
      <w:pPr>
        <w:pStyle w:val="ListBullet"/>
      </w:pPr>
      <w:r>
        <w:t>Implying statistical significance (“this proves…”, “significantly higher”) without having actually tested for it.</w:t>
      </w:r>
    </w:p>
    <w:p w14:paraId="4886158D" w14:textId="77777777" w:rsidR="00302EB5" w:rsidRDefault="00000000">
      <w:pPr>
        <w:pStyle w:val="ListBullet"/>
      </w:pPr>
      <w:r>
        <w:t>Reporting a percentage change without saying what it is a percentage of.</w:t>
      </w:r>
    </w:p>
    <w:p w14:paraId="5AF58D73" w14:textId="77777777" w:rsidR="00302EB5" w:rsidRDefault="00000000">
      <w:pPr>
        <w:pStyle w:val="ListBullet"/>
      </w:pPr>
      <w:r>
        <w:t>Copy-pasting a number straight from a notebook output cell without a sanity check -- a correlation coefficient outside [−1, 1], for instance, means something upstream has gone wrong.</w:t>
      </w:r>
    </w:p>
    <w:p w14:paraId="19405CB5" w14:textId="77777777" w:rsidR="00302EB5" w:rsidRDefault="00000000">
      <w:pPr>
        <w:pStyle w:val="Heading2"/>
      </w:pPr>
      <w:r>
        <w:t>What this looks like in practice</w:t>
      </w:r>
    </w:p>
    <w:p w14:paraId="55313CC2" w14:textId="77777777" w:rsidR="00302EB5" w:rsidRDefault="00000000">
      <w:r>
        <w:t>The two paragraphs below make the same point about the same (illustrative) result. Only one of them would score well -- notice exactly what changes.</w:t>
      </w:r>
    </w:p>
    <w:p w14:paraId="5CF4B05F" w14:textId="77777777" w:rsidR="00302EB5" w:rsidRDefault="00000000">
      <w:r>
        <w:rPr>
          <w:b/>
          <w:i/>
        </w:rPr>
        <w:t>Vague (roughly 40–50% territory):</w:t>
      </w:r>
    </w:p>
    <w:p w14:paraId="321F1ACF" w14:textId="77777777" w:rsidR="00302EB5" w:rsidRDefault="00000000">
      <w:pPr>
        <w:pStyle w:val="IntenseQuote"/>
      </w:pPr>
      <w:r>
        <w:t>“Figure 3 shows that cloud cover changes during El Niño. There is a difference between the two years. This could be due to ENSO affecting the atmosphere.”</w:t>
      </w:r>
    </w:p>
    <w:p w14:paraId="6E54390F" w14:textId="77777777" w:rsidR="00302EB5" w:rsidRDefault="00000000">
      <w:r>
        <w:t>This isn't wrong, exactly -- it just doesn't say anything a reader couldn't already guess from the title of the project. No number, no named mechanism, no acknowledgement of where it might not hold.</w:t>
      </w:r>
    </w:p>
    <w:p w14:paraId="301DE7B1" w14:textId="77777777" w:rsidR="00302EB5" w:rsidRDefault="00000000">
      <w:r>
        <w:rPr>
          <w:b/>
          <w:i/>
        </w:rPr>
        <w:t>Strong (roughly 70%+ territory):</w:t>
      </w:r>
    </w:p>
    <w:p w14:paraId="064E32B8" w14:textId="77777777" w:rsidR="00302EB5" w:rsidRDefault="00000000">
      <w:pPr>
        <w:pStyle w:val="IntenseQuote"/>
      </w:pPr>
      <w:r>
        <w:t xml:space="preserve">“Total cloud cover over the Maritime Continent is on average 8% lower during El Niño years than La Niña years (composite difference, Fig. 3), consistent with a correlation of r = −0.61 against ONI across the full record (Fig. 4). This matches the expected weakening of the Walker circulation during El Niño, in which warm water and convection partially shift toward the central/eastern Pacific and suppress convection over the Maritime Continent, even though the Maritime Continent stays the main rising branch. The relationship is not perfect, however: several moderate El Niño years show </w:t>
      </w:r>
      <w:r>
        <w:lastRenderedPageBreak/>
        <w:t>little cloud response, suggesting that event strength and the state of the western Pacific warm pool both matter, not ONI alone.” (Numbers here are illustrative -- yours will come from your own analysis.)</w:t>
      </w:r>
    </w:p>
    <w:p w14:paraId="00FC5FEA" w14:textId="77777777" w:rsidR="00302EB5" w:rsidRDefault="00000000">
      <w:r>
        <w:t>Same claim, same figures available -- but every sentence in the second version is doing a specific job: a quantified claim, evidence from two independent figures, a named physical mechanism, and an honest qualification. That is the whole difference between a report that describes and one that argues.</w:t>
      </w:r>
    </w:p>
    <w:p w14:paraId="6CF847C8" w14:textId="77777777" w:rsidR="00302EB5" w:rsidRDefault="00000000">
      <w:pPr>
        <w:pStyle w:val="Heading2"/>
      </w:pPr>
      <w:r>
        <w:t>Figure captions and data attribution</w:t>
      </w:r>
    </w:p>
    <w:p w14:paraId="0BE6B135" w14:textId="77777777" w:rsidR="00302EB5" w:rsidRDefault="00000000">
      <w:r>
        <w:t>Figures generated from your notebook are your own figures. The underlying datasets should still be acknowledged. For example:</w:t>
      </w:r>
    </w:p>
    <w:p w14:paraId="2C28EC56" w14:textId="77777777" w:rsidR="00302EB5" w:rsidRDefault="00000000">
      <w:pPr>
        <w:pStyle w:val="IntenseQuote"/>
      </w:pPr>
      <w:r>
        <w:t>Figure 2. El Niño minus La Niña total cloud-cover anomaly for the analysis period. Figure produced by the author using ERA5 data (ECMWF/Copernicus Climate Change Service) and ONI data (NOAA Climate Prediction Center).</w:t>
      </w:r>
    </w:p>
    <w:p w14:paraId="38FF6DEB" w14:textId="77777777" w:rsidR="00302EB5" w:rsidRDefault="00000000">
      <w:pPr>
        <w:pStyle w:val="Heading2"/>
      </w:pPr>
      <w:r>
        <w:t>What makes a figure caption adequate</w:t>
      </w:r>
    </w:p>
    <w:p w14:paraId="3A289F92" w14:textId="77777777" w:rsidR="00302EB5" w:rsidRDefault="00000000">
      <w:r>
        <w:t>A caption should let a reader understand the figure without reading your main text. At minimum, it should say:</w:t>
      </w:r>
    </w:p>
    <w:p w14:paraId="437E7DA7" w14:textId="77777777" w:rsidR="00302EB5" w:rsidRDefault="00000000">
      <w:pPr>
        <w:pStyle w:val="ListBullet"/>
      </w:pPr>
      <w:r>
        <w:t>What is plotted -- the variable, and whether it is a raw field, an anomaly, a difference, or a composite.</w:t>
      </w:r>
    </w:p>
    <w:p w14:paraId="66A752CC" w14:textId="77777777" w:rsidR="00302EB5" w:rsidRDefault="00000000">
      <w:pPr>
        <w:pStyle w:val="ListBullet"/>
      </w:pPr>
      <w:r>
        <w:t>The units.</w:t>
      </w:r>
    </w:p>
    <w:p w14:paraId="3C2041DD" w14:textId="77777777" w:rsidR="00302EB5" w:rsidRDefault="00000000">
      <w:pPr>
        <w:pStyle w:val="ListBullet"/>
      </w:pPr>
      <w:r>
        <w:t>The time period and/or region covered.</w:t>
      </w:r>
    </w:p>
    <w:p w14:paraId="3C8B8863" w14:textId="77777777" w:rsidR="00302EB5" w:rsidRDefault="00000000">
      <w:pPr>
        <w:pStyle w:val="ListBullet"/>
      </w:pPr>
      <w:r>
        <w:t>Any threshold or definition used to build it (e.g. how El Niño/La Niña years were defined), if that is not already obvious from the axis labels.</w:t>
      </w:r>
    </w:p>
    <w:p w14:paraId="4FFC1448" w14:textId="77777777" w:rsidR="00302EB5" w:rsidRDefault="00000000">
      <w:pPr>
        <w:pStyle w:val="ListBullet"/>
      </w:pPr>
      <w:r>
        <w:t>The dataset(s) it was built from -- see the attribution line below.</w:t>
      </w:r>
    </w:p>
    <w:p w14:paraId="14A2F197" w14:textId="77777777" w:rsidR="00302EB5" w:rsidRDefault="00000000">
      <w:r>
        <w:rPr>
          <w:b/>
          <w:i/>
        </w:rPr>
        <w:t>Vague:</w:t>
      </w:r>
    </w:p>
    <w:p w14:paraId="4A1AE2C1" w14:textId="77777777" w:rsidR="00302EB5" w:rsidRDefault="00000000">
      <w:pPr>
        <w:pStyle w:val="IntenseQuote"/>
      </w:pPr>
      <w:r>
        <w:t>“Figure 5. Cloud cover map.”</w:t>
      </w:r>
    </w:p>
    <w:p w14:paraId="0479E919" w14:textId="77777777" w:rsidR="00302EB5" w:rsidRDefault="00000000">
      <w:r>
        <w:rPr>
          <w:b/>
          <w:i/>
        </w:rPr>
        <w:t>Adequate:</w:t>
      </w:r>
    </w:p>
    <w:p w14:paraId="53F01589" w14:textId="77777777" w:rsidR="00302EB5" w:rsidRDefault="00000000">
      <w:pPr>
        <w:pStyle w:val="IntenseQuote"/>
      </w:pPr>
      <w:r>
        <w:t>“Figure 5. Composite mean total cloud cover anomaly (%, relative to the 1991–2020 climatology) for El Niño DJF seasons (ONI &gt; 0.5°C), 1980–2023. ERA5 reanalysis (ECMWF/Copernicus Climate Change Service).”</w:t>
      </w:r>
    </w:p>
    <w:p w14:paraId="3C76FE1D" w14:textId="77777777" w:rsidR="00302EB5" w:rsidRDefault="00000000">
      <w:r>
        <w:t>Notice that the adequate version answers all five checklist points above in one sentence -- it is longer, but every extra word is doing a job, not padding.</w:t>
      </w:r>
    </w:p>
    <w:p w14:paraId="3BFF741B" w14:textId="77777777" w:rsidR="00302EB5" w:rsidRDefault="00000000">
      <w:pPr>
        <w:pStyle w:val="Heading1"/>
      </w:pPr>
      <w:r>
        <w:t>9. How your report will be marked</w:t>
      </w:r>
    </w:p>
    <w:p w14:paraId="5215F3EB" w14:textId="77777777" w:rsidR="00302EB5" w:rsidRDefault="00000000">
      <w:r>
        <w:rPr>
          <w:sz w:val="22"/>
        </w:rPr>
        <w:t>Your report is marked on a UK percentage scale. The scheme is the same every week, so you know from day one what ‘good’ looks like. It is designed so that a report which does everything asked of it, correctly, sits at roughly 65% — comfortably a pass, genuinely solid, but with real room above it for a report that shows independent thinking.</w:t>
      </w:r>
    </w:p>
    <w:p w14:paraId="2F3B5C7B" w14:textId="77777777" w:rsidR="00302EB5" w:rsidRDefault="00000000">
      <w:pPr>
        <w:pStyle w:val="Heading2"/>
      </w:pPr>
      <w:r>
        <w:t>40–49% — Pass / Third</w:t>
      </w:r>
    </w:p>
    <w:p w14:paraId="1357B9EC" w14:textId="77777777" w:rsidR="00302EB5" w:rsidRDefault="00000000">
      <w:r>
        <w:rPr>
          <w:sz w:val="22"/>
        </w:rPr>
        <w:t xml:space="preserve">A question is present but vague or broad, or not clearly answered. There are some figures, but they may not be well-chosen, may be mislabelled, or are largely descriptive. The report tends to follow the notebook's own narrative rather than building an argument. Basic concepts are used, sometimes with a </w:t>
      </w:r>
      <w:r>
        <w:rPr>
          <w:sz w:val="22"/>
        </w:rPr>
        <w:lastRenderedPageBreak/>
        <w:t>misunderstanding. Sources are at least partly acknowledged. In short: you ran the notebook, picked something to write about, and described what you found — but the report reads more like a summary of the notebook than an argument that answers a specific question.</w:t>
      </w:r>
    </w:p>
    <w:p w14:paraId="2784410B" w14:textId="77777777" w:rsidR="00302EB5" w:rsidRDefault="00000000">
      <w:pPr>
        <w:pStyle w:val="Heading2"/>
      </w:pPr>
      <w:r>
        <w:t>50–59% — 2:2</w:t>
      </w:r>
    </w:p>
    <w:p w14:paraId="17C00037" w14:textId="77777777" w:rsidR="00302EB5" w:rsidRDefault="00000000">
      <w:r>
        <w:rPr>
          <w:sz w:val="22"/>
        </w:rPr>
        <w:t>One reasonably specific question is answered, though the reasoning from evidence to conclusion may be thin. Figures are mostly relevant and well-presented, but one or two may not really serve the question. Some quantification is attempted but may lack precision. The structure follows Introduction/Methods/Results/Discussion/Conclusion, though sections may overlap. Attribution is present and mostly correct.</w:t>
      </w:r>
    </w:p>
    <w:p w14:paraId="3BD500D1" w14:textId="77777777" w:rsidR="00302EB5" w:rsidRDefault="00000000">
      <w:pPr>
        <w:pStyle w:val="Heading2"/>
      </w:pPr>
      <w:r>
        <w:t>60–69% — 2:1 (a solid, competent report — roughly 65%)</w:t>
      </w:r>
    </w:p>
    <w:p w14:paraId="758D2CA9" w14:textId="77777777" w:rsidR="00302EB5" w:rsidRDefault="00000000">
      <w:r>
        <w:rPr>
          <w:sz w:val="22"/>
        </w:rPr>
        <w:t>A genuinely focused question, clearly stated and directly, confidently answered in the Conclusion. Three to five well-designed figures, each earning its place as evidence. Claims are consistently backed by quantified evidence (sign, magnitude, r/R²) and physically interpreted. There is some awareness of limitations, even if not deeply explored. The structure is clean: a funnel introduction, a Methods section that explains what was done and why (not a Python how-to), Results and Discussion kept properly separate, and a Conclusion that answers the question directly with no new analysis. This is where a ‘solid, competent’ report sits — everything asked for is present and done correctly, without significant errors.</w:t>
      </w:r>
    </w:p>
    <w:p w14:paraId="43F74E53" w14:textId="77777777" w:rsidR="00302EB5" w:rsidRDefault="00000000">
      <w:pPr>
        <w:pStyle w:val="Heading2"/>
      </w:pPr>
      <w:r>
        <w:t>70–79% — First</w:t>
      </w:r>
    </w:p>
    <w:p w14:paraId="01849475" w14:textId="77777777" w:rsidR="00302EB5" w:rsidRDefault="00000000">
      <w:r>
        <w:rPr>
          <w:sz w:val="22"/>
        </w:rPr>
        <w:t>The question is well-chosen: specific, interesting, and physically motivated. The figures are excellent, with real physical insight discussed rather than just described. The Claim → Evidence → Interpretation → Qualification chain is used consistently, with genuinely thoughtful qualifications. The Discussion shows independent scientific thinking — comparing regions or methods, relating results back to the Walker circulation/SST/subsidence-convection mechanism, noting what was surprising or expected. The writing is concise and reads as a genuine short scientific argument. Attribution is complete and precise.</w:t>
      </w:r>
    </w:p>
    <w:p w14:paraId="563FF8DC" w14:textId="77777777" w:rsidR="00302EB5" w:rsidRDefault="00000000">
      <w:pPr>
        <w:pStyle w:val="Heading2"/>
      </w:pPr>
      <w:r>
        <w:t>80%+ — Exceptional / high First</w:t>
      </w:r>
    </w:p>
    <w:p w14:paraId="6F3AFE24" w14:textId="77777777" w:rsidR="00302EB5" w:rsidRDefault="00000000">
      <w:r>
        <w:rPr>
          <w:sz w:val="22"/>
        </w:rPr>
        <w:t>All of the above, plus something beyond what was directly taught: an original angle, an insightful comparison the notebook does not hand you, or a careful and correct treatment of a subtlety (for example, effective sample size/autocorrelation, or a sensitivity check). Writing and figures are of near-publishable short-communication standard. Every claim is precisely quantified and correctly interpreted, and the qualifications are genuinely illuminating. Vanishingly rare to be perfect.</w:t>
      </w:r>
    </w:p>
    <w:p w14:paraId="453497CD" w14:textId="77777777" w:rsidR="00302EB5" w:rsidRDefault="00000000">
      <w:pPr>
        <w:pStyle w:val="Heading2"/>
      </w:pPr>
      <w:r>
        <w:t>What pulls a mark down, regardless of band</w:t>
      </w:r>
    </w:p>
    <w:p w14:paraId="0DB05C88" w14:textId="77777777" w:rsidR="00302EB5" w:rsidRDefault="00000000">
      <w:r>
        <w:rPr>
          <w:sz w:val="22"/>
        </w:rPr>
        <w:t>A few specific mistakes cost marks at every level, however good the rest of the report is: no single clear question the report is answering; including every notebook output rather than choosing evidence; treating a correlation as if it proves causation; unattributed data or images; code included in the report itself; and new analysis introduced in the Conclusion rather than in Results. See §10, Common pitfalls, for the full list with examples.</w:t>
      </w:r>
    </w:p>
    <w:p w14:paraId="41DA84B4" w14:textId="77777777" w:rsidR="00302EB5" w:rsidRDefault="00000000">
      <w:pPr>
        <w:pStyle w:val="Heading1"/>
      </w:pPr>
      <w:r>
        <w:t>10. Common pitfalls</w:t>
      </w:r>
    </w:p>
    <w:p w14:paraId="7721C92D" w14:textId="77777777" w:rsidR="00302EB5" w:rsidRDefault="00000000">
      <w:pPr>
        <w:pStyle w:val="ListBullet"/>
      </w:pPr>
      <w:r>
        <w:t>Trying to include every notebook output.</w:t>
      </w:r>
    </w:p>
    <w:p w14:paraId="662FB0BE" w14:textId="77777777" w:rsidR="00302EB5" w:rsidRDefault="00000000">
      <w:pPr>
        <w:pStyle w:val="ListBullet"/>
      </w:pPr>
      <w:r>
        <w:t>Choosing a question so broad that it becomes 'ENSO and all clouds everywhere'.</w:t>
      </w:r>
    </w:p>
    <w:p w14:paraId="4E9C4A5B" w14:textId="77777777" w:rsidR="00302EB5" w:rsidRDefault="00000000">
      <w:pPr>
        <w:pStyle w:val="ListBullet"/>
      </w:pPr>
      <w:r>
        <w:t>Writing Results in code order rather than around the question.</w:t>
      </w:r>
    </w:p>
    <w:p w14:paraId="5CDD5D06" w14:textId="77777777" w:rsidR="00302EB5" w:rsidRDefault="00000000">
      <w:pPr>
        <w:pStyle w:val="ListBullet"/>
      </w:pPr>
      <w:r>
        <w:lastRenderedPageBreak/>
        <w:t>Treating correlation as proof of causation.</w:t>
      </w:r>
    </w:p>
    <w:p w14:paraId="33469276" w14:textId="77777777" w:rsidR="00302EB5" w:rsidRDefault="00000000">
      <w:pPr>
        <w:pStyle w:val="ListBullet"/>
      </w:pPr>
      <w:r>
        <w:t>Describing colour patterns without identifying sign, magnitude or location.</w:t>
      </w:r>
    </w:p>
    <w:p w14:paraId="356D8632" w14:textId="77777777" w:rsidR="00302EB5" w:rsidRDefault="00000000">
      <w:pPr>
        <w:pStyle w:val="ListBullet"/>
      </w:pPr>
      <w:r>
        <w:t>Putting atmospheric interpretation into Methods rather than Discussion.</w:t>
      </w:r>
    </w:p>
    <w:p w14:paraId="45C1F106" w14:textId="77777777" w:rsidR="00302EB5" w:rsidRDefault="00000000">
      <w:pPr>
        <w:pStyle w:val="ListBullet"/>
      </w:pPr>
      <w:r>
        <w:t>Including Python code instead of explaining the analysis.</w:t>
      </w:r>
    </w:p>
    <w:p w14:paraId="3C484A3F" w14:textId="77777777" w:rsidR="00302EB5" w:rsidRDefault="00000000">
      <w:pPr>
        <w:pStyle w:val="ListBullet"/>
      </w:pPr>
      <w:r>
        <w:t>Forgetting to acknowledge ERA5 and ONI as the underlying data sources.</w:t>
      </w:r>
    </w:p>
    <w:p w14:paraId="3C552F46" w14:textId="77777777" w:rsidR="00302EB5" w:rsidRDefault="00000000">
      <w:pPr>
        <w:pStyle w:val="Heading1"/>
      </w:pPr>
      <w:r>
        <w:t>11. Tutorial roadmap</w:t>
      </w:r>
    </w:p>
    <w:tbl>
      <w:tblPr>
        <w:tblStyle w:val="TableGrid"/>
        <w:tblW w:w="0" w:type="auto"/>
        <w:jc w:val="center"/>
        <w:tblLook w:val="04A0" w:firstRow="1" w:lastRow="0" w:firstColumn="1" w:lastColumn="0" w:noHBand="0" w:noVBand="1"/>
      </w:tblPr>
      <w:tblGrid>
        <w:gridCol w:w="2541"/>
        <w:gridCol w:w="2541"/>
        <w:gridCol w:w="2541"/>
        <w:gridCol w:w="2541"/>
      </w:tblGrid>
      <w:tr w:rsidR="00302EB5" w14:paraId="030FD806" w14:textId="77777777">
        <w:trPr>
          <w:jc w:val="center"/>
        </w:trPr>
        <w:tc>
          <w:tcPr>
            <w:tcW w:w="2541" w:type="dxa"/>
            <w:shd w:val="clear" w:color="auto" w:fill="0B4F6C"/>
          </w:tcPr>
          <w:p w14:paraId="2B0368D9" w14:textId="77777777" w:rsidR="00302EB5" w:rsidRDefault="00000000">
            <w:r>
              <w:rPr>
                <w:b/>
                <w:color w:val="FFFFFF"/>
              </w:rPr>
              <w:t>Date</w:t>
            </w:r>
          </w:p>
        </w:tc>
        <w:tc>
          <w:tcPr>
            <w:tcW w:w="2541" w:type="dxa"/>
            <w:shd w:val="clear" w:color="auto" w:fill="0B4F6C"/>
          </w:tcPr>
          <w:p w14:paraId="3CDA0D32" w14:textId="77777777" w:rsidR="00302EB5" w:rsidRDefault="00000000">
            <w:r>
              <w:rPr>
                <w:b/>
                <w:color w:val="FFFFFF"/>
              </w:rPr>
              <w:t>Focus</w:t>
            </w:r>
          </w:p>
        </w:tc>
        <w:tc>
          <w:tcPr>
            <w:tcW w:w="2541" w:type="dxa"/>
            <w:shd w:val="clear" w:color="auto" w:fill="0B4F6C"/>
          </w:tcPr>
          <w:p w14:paraId="14391221" w14:textId="77777777" w:rsidR="00302EB5" w:rsidRDefault="00000000">
            <w:r>
              <w:rPr>
                <w:b/>
                <w:color w:val="FFFFFF"/>
              </w:rPr>
              <w:t>What you do</w:t>
            </w:r>
          </w:p>
        </w:tc>
        <w:tc>
          <w:tcPr>
            <w:tcW w:w="2541" w:type="dxa"/>
            <w:shd w:val="clear" w:color="auto" w:fill="0B4F6C"/>
          </w:tcPr>
          <w:p w14:paraId="6C794318" w14:textId="77777777" w:rsidR="00302EB5" w:rsidRDefault="00000000">
            <w:r>
              <w:rPr>
                <w:b/>
                <w:color w:val="FFFFFF"/>
              </w:rPr>
              <w:t>Leave with</w:t>
            </w:r>
          </w:p>
        </w:tc>
      </w:tr>
      <w:tr w:rsidR="00302EB5" w14:paraId="6CB9FFC4" w14:textId="77777777">
        <w:trPr>
          <w:jc w:val="center"/>
        </w:trPr>
        <w:tc>
          <w:tcPr>
            <w:tcW w:w="2541" w:type="dxa"/>
          </w:tcPr>
          <w:p w14:paraId="11DF0BAA" w14:textId="77777777" w:rsidR="00302EB5" w:rsidRDefault="00000000">
            <w:r>
              <w:t>29 Sept</w:t>
            </w:r>
          </w:p>
        </w:tc>
        <w:tc>
          <w:tcPr>
            <w:tcW w:w="2541" w:type="dxa"/>
          </w:tcPr>
          <w:p w14:paraId="34CF360D" w14:textId="77777777" w:rsidR="00302EB5" w:rsidRDefault="00000000">
            <w:r>
              <w:t>Launch + science</w:t>
            </w:r>
          </w:p>
        </w:tc>
        <w:tc>
          <w:tcPr>
            <w:tcW w:w="2541" w:type="dxa"/>
          </w:tcPr>
          <w:p w14:paraId="0C597189" w14:textId="77777777" w:rsidR="00302EB5" w:rsidRDefault="00000000">
            <w:r>
              <w:t>ERA5, ENSO, Binder, first plots</w:t>
            </w:r>
          </w:p>
        </w:tc>
        <w:tc>
          <w:tcPr>
            <w:tcW w:w="2541" w:type="dxa"/>
          </w:tcPr>
          <w:p w14:paraId="5E653BF5" w14:textId="77777777" w:rsidR="00302EB5" w:rsidRDefault="00000000">
            <w:r>
              <w:t>Notebook running; understand project idea</w:t>
            </w:r>
          </w:p>
        </w:tc>
      </w:tr>
      <w:tr w:rsidR="00302EB5" w14:paraId="15267D46" w14:textId="77777777">
        <w:trPr>
          <w:jc w:val="center"/>
        </w:trPr>
        <w:tc>
          <w:tcPr>
            <w:tcW w:w="2541" w:type="dxa"/>
            <w:shd w:val="clear" w:color="auto" w:fill="EAF1F4"/>
          </w:tcPr>
          <w:p w14:paraId="3695F345" w14:textId="77777777" w:rsidR="00302EB5" w:rsidRDefault="00000000">
            <w:r>
              <w:t>6 Oct</w:t>
            </w:r>
          </w:p>
        </w:tc>
        <w:tc>
          <w:tcPr>
            <w:tcW w:w="2541" w:type="dxa"/>
            <w:shd w:val="clear" w:color="auto" w:fill="EAF1F4"/>
          </w:tcPr>
          <w:p w14:paraId="31A27BA7" w14:textId="77777777" w:rsidR="00302EB5" w:rsidRDefault="00000000">
            <w:r>
              <w:t>Climate variability</w:t>
            </w:r>
          </w:p>
        </w:tc>
        <w:tc>
          <w:tcPr>
            <w:tcW w:w="2541" w:type="dxa"/>
            <w:shd w:val="clear" w:color="auto" w:fill="EAF1F4"/>
          </w:tcPr>
          <w:p w14:paraId="416E8A7D" w14:textId="77777777" w:rsidR="00302EB5" w:rsidRDefault="00000000">
            <w:r>
              <w:t>Weighting, climatology, anomalies</w:t>
            </w:r>
          </w:p>
        </w:tc>
        <w:tc>
          <w:tcPr>
            <w:tcW w:w="2541" w:type="dxa"/>
            <w:shd w:val="clear" w:color="auto" w:fill="EAF1F4"/>
          </w:tcPr>
          <w:p w14:paraId="48C3A890" w14:textId="77777777" w:rsidR="00302EB5" w:rsidRDefault="00000000">
            <w:r>
              <w:t>Can explain an anomaly</w:t>
            </w:r>
          </w:p>
        </w:tc>
      </w:tr>
      <w:tr w:rsidR="00302EB5" w14:paraId="45EA0B68" w14:textId="77777777">
        <w:trPr>
          <w:jc w:val="center"/>
        </w:trPr>
        <w:tc>
          <w:tcPr>
            <w:tcW w:w="2541" w:type="dxa"/>
          </w:tcPr>
          <w:p w14:paraId="00A09B8F" w14:textId="77777777" w:rsidR="00302EB5" w:rsidRDefault="00000000">
            <w:r>
              <w:t>13 Oct</w:t>
            </w:r>
          </w:p>
        </w:tc>
        <w:tc>
          <w:tcPr>
            <w:tcW w:w="2541" w:type="dxa"/>
          </w:tcPr>
          <w:p w14:paraId="2C7C681C" w14:textId="77777777" w:rsidR="00302EB5" w:rsidRDefault="00000000">
            <w:r>
              <w:t>ENSO signal</w:t>
            </w:r>
          </w:p>
        </w:tc>
        <w:tc>
          <w:tcPr>
            <w:tcW w:w="2541" w:type="dxa"/>
          </w:tcPr>
          <w:p w14:paraId="3BB2C5A0" w14:textId="77777777" w:rsidR="00302EB5" w:rsidRDefault="00000000">
            <w:r>
              <w:t>Composite, ONI, correlation</w:t>
            </w:r>
          </w:p>
        </w:tc>
        <w:tc>
          <w:tcPr>
            <w:tcW w:w="2541" w:type="dxa"/>
          </w:tcPr>
          <w:p w14:paraId="54546D18" w14:textId="77777777" w:rsidR="00302EB5" w:rsidRDefault="00000000">
            <w:r>
              <w:t>2–3 interesting patterns</w:t>
            </w:r>
          </w:p>
        </w:tc>
      </w:tr>
      <w:tr w:rsidR="00302EB5" w14:paraId="10EB2695" w14:textId="77777777">
        <w:trPr>
          <w:jc w:val="center"/>
        </w:trPr>
        <w:tc>
          <w:tcPr>
            <w:tcW w:w="2541" w:type="dxa"/>
            <w:shd w:val="clear" w:color="auto" w:fill="EAF1F4"/>
          </w:tcPr>
          <w:p w14:paraId="3EC47EE1" w14:textId="77777777" w:rsidR="00302EB5" w:rsidRDefault="00000000">
            <w:r>
              <w:t>27 Oct</w:t>
            </w:r>
          </w:p>
        </w:tc>
        <w:tc>
          <w:tcPr>
            <w:tcW w:w="2541" w:type="dxa"/>
            <w:shd w:val="clear" w:color="auto" w:fill="EAF1F4"/>
          </w:tcPr>
          <w:p w14:paraId="13445F5F" w14:textId="77777777" w:rsidR="00302EB5" w:rsidRDefault="00000000">
            <w:r>
              <w:t>Choose a question</w:t>
            </w:r>
          </w:p>
        </w:tc>
        <w:tc>
          <w:tcPr>
            <w:tcW w:w="2541" w:type="dxa"/>
            <w:shd w:val="clear" w:color="auto" w:fill="EAF1F4"/>
          </w:tcPr>
          <w:p w14:paraId="410B8CFD" w14:textId="77777777" w:rsidR="00302EB5" w:rsidRDefault="00000000">
            <w:r>
              <w:t>Cloud levels, regions, optional lag</w:t>
            </w:r>
          </w:p>
        </w:tc>
        <w:tc>
          <w:tcPr>
            <w:tcW w:w="2541" w:type="dxa"/>
            <w:shd w:val="clear" w:color="auto" w:fill="EAF1F4"/>
          </w:tcPr>
          <w:p w14:paraId="732C98B4" w14:textId="77777777" w:rsidR="00302EB5" w:rsidRDefault="00000000">
            <w:r>
              <w:t>One focused question + figure plan</w:t>
            </w:r>
          </w:p>
        </w:tc>
      </w:tr>
      <w:tr w:rsidR="00302EB5" w14:paraId="7A1C1379" w14:textId="77777777">
        <w:trPr>
          <w:jc w:val="center"/>
        </w:trPr>
        <w:tc>
          <w:tcPr>
            <w:tcW w:w="2541" w:type="dxa"/>
          </w:tcPr>
          <w:p w14:paraId="2833D8E7" w14:textId="77777777" w:rsidR="00302EB5" w:rsidRDefault="00000000">
            <w:r>
              <w:t>10 Nov</w:t>
            </w:r>
          </w:p>
        </w:tc>
        <w:tc>
          <w:tcPr>
            <w:tcW w:w="2541" w:type="dxa"/>
          </w:tcPr>
          <w:p w14:paraId="6814E74A" w14:textId="77777777" w:rsidR="00302EB5" w:rsidRDefault="00000000">
            <w:r>
              <w:t>Analysis workshop</w:t>
            </w:r>
          </w:p>
        </w:tc>
        <w:tc>
          <w:tcPr>
            <w:tcW w:w="2541" w:type="dxa"/>
          </w:tcPr>
          <w:p w14:paraId="04F9E5C4" w14:textId="77777777" w:rsidR="00302EB5" w:rsidRDefault="00000000">
            <w:r>
              <w:t>Adapt selected analyses</w:t>
            </w:r>
          </w:p>
        </w:tc>
        <w:tc>
          <w:tcPr>
            <w:tcW w:w="2541" w:type="dxa"/>
          </w:tcPr>
          <w:p w14:paraId="01F0488E" w14:textId="77777777" w:rsidR="00302EB5" w:rsidRDefault="00000000">
            <w:r>
              <w:t>3–5 provisional figures</w:t>
            </w:r>
          </w:p>
        </w:tc>
      </w:tr>
      <w:tr w:rsidR="00302EB5" w14:paraId="1629AC54" w14:textId="77777777">
        <w:trPr>
          <w:jc w:val="center"/>
        </w:trPr>
        <w:tc>
          <w:tcPr>
            <w:tcW w:w="2541" w:type="dxa"/>
            <w:shd w:val="clear" w:color="auto" w:fill="EAF1F4"/>
          </w:tcPr>
          <w:p w14:paraId="22240963" w14:textId="77777777" w:rsidR="00302EB5" w:rsidRDefault="00000000">
            <w:r>
              <w:t>17 Nov</w:t>
            </w:r>
          </w:p>
        </w:tc>
        <w:tc>
          <w:tcPr>
            <w:tcW w:w="2541" w:type="dxa"/>
            <w:shd w:val="clear" w:color="auto" w:fill="EAF1F4"/>
          </w:tcPr>
          <w:p w14:paraId="5B88F21B" w14:textId="77777777" w:rsidR="00302EB5" w:rsidRDefault="00000000">
            <w:r>
              <w:t>Writing workshop</w:t>
            </w:r>
          </w:p>
        </w:tc>
        <w:tc>
          <w:tcPr>
            <w:tcW w:w="2541" w:type="dxa"/>
            <w:shd w:val="clear" w:color="auto" w:fill="EAF1F4"/>
          </w:tcPr>
          <w:p w14:paraId="2FBCD92A" w14:textId="77777777" w:rsidR="00302EB5" w:rsidRDefault="00000000">
            <w:r>
              <w:t>Build report around evidence</w:t>
            </w:r>
          </w:p>
        </w:tc>
        <w:tc>
          <w:tcPr>
            <w:tcW w:w="2541" w:type="dxa"/>
            <w:shd w:val="clear" w:color="auto" w:fill="EAF1F4"/>
          </w:tcPr>
          <w:p w14:paraId="7AE3F48D" w14:textId="77777777" w:rsidR="00302EB5" w:rsidRDefault="00000000">
            <w:r>
              <w:t>Structure, captions, main argument</w:t>
            </w:r>
          </w:p>
        </w:tc>
      </w:tr>
      <w:tr w:rsidR="00302EB5" w14:paraId="2E483942" w14:textId="77777777">
        <w:trPr>
          <w:jc w:val="center"/>
        </w:trPr>
        <w:tc>
          <w:tcPr>
            <w:tcW w:w="2541" w:type="dxa"/>
          </w:tcPr>
          <w:p w14:paraId="57C4C398" w14:textId="77777777" w:rsidR="00302EB5" w:rsidRDefault="00000000">
            <w:r>
              <w:t>24 Nov</w:t>
            </w:r>
          </w:p>
        </w:tc>
        <w:tc>
          <w:tcPr>
            <w:tcW w:w="2541" w:type="dxa"/>
          </w:tcPr>
          <w:p w14:paraId="32907716" w14:textId="77777777" w:rsidR="00302EB5" w:rsidRDefault="00000000">
            <w:r>
              <w:t>Draft clinic</w:t>
            </w:r>
          </w:p>
        </w:tc>
        <w:tc>
          <w:tcPr>
            <w:tcW w:w="2541" w:type="dxa"/>
          </w:tcPr>
          <w:p w14:paraId="6B354ACD" w14:textId="77777777" w:rsidR="00302EB5" w:rsidRDefault="00000000">
            <w:r>
              <w:t>Targeted feedback</w:t>
            </w:r>
          </w:p>
        </w:tc>
        <w:tc>
          <w:tcPr>
            <w:tcW w:w="2541" w:type="dxa"/>
          </w:tcPr>
          <w:p w14:paraId="76838312" w14:textId="77777777" w:rsidR="00302EB5" w:rsidRDefault="00000000">
            <w:r>
              <w:t>Improved draft/figures</w:t>
            </w:r>
          </w:p>
        </w:tc>
      </w:tr>
      <w:tr w:rsidR="00302EB5" w14:paraId="78532564" w14:textId="77777777">
        <w:trPr>
          <w:jc w:val="center"/>
        </w:trPr>
        <w:tc>
          <w:tcPr>
            <w:tcW w:w="2541" w:type="dxa"/>
            <w:shd w:val="clear" w:color="auto" w:fill="EAF1F4"/>
          </w:tcPr>
          <w:p w14:paraId="23C96C39" w14:textId="77777777" w:rsidR="00302EB5" w:rsidRDefault="00000000">
            <w:r>
              <w:t>1 Dec</w:t>
            </w:r>
          </w:p>
        </w:tc>
        <w:tc>
          <w:tcPr>
            <w:tcW w:w="2541" w:type="dxa"/>
            <w:shd w:val="clear" w:color="auto" w:fill="EAF1F4"/>
          </w:tcPr>
          <w:p w14:paraId="014998FC" w14:textId="77777777" w:rsidR="00302EB5" w:rsidRDefault="00000000">
            <w:r>
              <w:t>Final clinic</w:t>
            </w:r>
          </w:p>
        </w:tc>
        <w:tc>
          <w:tcPr>
            <w:tcW w:w="2541" w:type="dxa"/>
            <w:shd w:val="clear" w:color="auto" w:fill="EAF1F4"/>
          </w:tcPr>
          <w:p w14:paraId="7F7E9997" w14:textId="77777777" w:rsidR="00302EB5" w:rsidRDefault="00000000">
            <w:r>
              <w:t>Resolve problems</w:t>
            </w:r>
          </w:p>
        </w:tc>
        <w:tc>
          <w:tcPr>
            <w:tcW w:w="2541" w:type="dxa"/>
            <w:shd w:val="clear" w:color="auto" w:fill="EAF1F4"/>
          </w:tcPr>
          <w:p w14:paraId="36D72FD7" w14:textId="77777777" w:rsidR="00302EB5" w:rsidRDefault="00000000">
            <w:r>
              <w:t>Ready to finish</w:t>
            </w:r>
          </w:p>
        </w:tc>
      </w:tr>
    </w:tbl>
    <w:p w14:paraId="28CE68D0" w14:textId="77777777" w:rsidR="00302EB5" w:rsidRDefault="00000000">
      <w:r>
        <w:rPr>
          <w:i/>
        </w:rPr>
        <w:t>Every tutorial is timetabled for 50 minutes. Each week's slide deck carries a suggested timing in its speaker notes (content + hands-on + a buffer), and Canvas_weekly_plan.md gives the same breakdown without needing to open the slides. Two sessions carry an extra timing risk worth planning around: 29 September (everyone's first Binder launch, which is slow on a cold build) and 13 October (the heaviest notebook cell, and the first time most students' sessions call Cartopy, which normally needs network access to fetch map outlines). See “De-risking the 50 minutes” at the end of Canvas_weekly_plan.md for the fix applied to both.</w:t>
      </w:r>
    </w:p>
    <w:p w14:paraId="1197B43B" w14:textId="77777777" w:rsidR="00302EB5" w:rsidRDefault="00000000">
      <w:pPr>
        <w:pStyle w:val="Heading1"/>
      </w:pPr>
      <w:r>
        <w:t>12. Sources and attribution</w:t>
      </w:r>
    </w:p>
    <w:p w14:paraId="03E9E58C" w14:textId="77777777" w:rsidR="00302EB5" w:rsidRDefault="00000000">
      <w:pPr>
        <w:pStyle w:val="ListBullet"/>
      </w:pPr>
      <w:r>
        <w:t>ERA5: ECMWF / Copernicus Climate Change Service. ERA5 reanalysis documentation and dataset catalogue.</w:t>
      </w:r>
    </w:p>
    <w:p w14:paraId="3F17E27C" w14:textId="77777777" w:rsidR="00302EB5" w:rsidRDefault="00000000">
      <w:pPr>
        <w:pStyle w:val="ListBullet"/>
      </w:pPr>
      <w:r>
        <w:t>ENSO science: NOAA Climate.gov, El Niño and La Niña frequently asked questions; NOAA Climate Prediction Center.</w:t>
      </w:r>
    </w:p>
    <w:p w14:paraId="1258727C" w14:textId="77777777" w:rsidR="00302EB5" w:rsidRDefault="00000000">
      <w:pPr>
        <w:pStyle w:val="ListBullet"/>
      </w:pPr>
      <w:r>
        <w:t>ONI: NOAA Climate Prediction Center historical Oceanic Niño Index tables.</w:t>
      </w:r>
    </w:p>
    <w:p w14:paraId="662CC4CE" w14:textId="77777777" w:rsidR="00302EB5" w:rsidRDefault="00000000">
      <w:pPr>
        <w:pStyle w:val="ListBullet"/>
      </w:pPr>
      <w:r>
        <w:t>Marine stratocumulus visual examples for the tutorial slides: NOAA/NASA satellite imagery; attribution is given on the relevant slide.</w:t>
      </w:r>
    </w:p>
    <w:p w14:paraId="5E86F0CB" w14:textId="77777777" w:rsidR="00302EB5" w:rsidRDefault="00000000">
      <w:pPr>
        <w:pStyle w:val="ListBullet"/>
      </w:pPr>
      <w:r>
        <w:t>All schematic diagrams in this guide and the tutorial decks were created specifically for this course.</w:t>
      </w:r>
    </w:p>
    <w:sectPr w:rsidR="00302EB5" w:rsidSect="00034616">
      <w:footerReference w:type="default" r:id="rId20"/>
      <w:pgSz w:w="12240" w:h="15840"/>
      <w:pgMar w:top="835" w:right="1037" w:bottom="835"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22BA52" w14:textId="77777777" w:rsidR="001D423A" w:rsidRDefault="001D423A">
      <w:pPr>
        <w:spacing w:after="0" w:line="240" w:lineRule="auto"/>
      </w:pPr>
      <w:r>
        <w:separator/>
      </w:r>
    </w:p>
  </w:endnote>
  <w:endnote w:type="continuationSeparator" w:id="0">
    <w:p w14:paraId="74D4C2C4" w14:textId="77777777" w:rsidR="001D423A" w:rsidRDefault="001D4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819FCA" w14:textId="77777777" w:rsidR="00302EB5" w:rsidRDefault="00000000">
    <w:pPr>
      <w:pStyle w:val="Footer"/>
    </w:pPr>
    <w:r>
      <w:rPr>
        <w:color w:val="666666"/>
        <w:sz w:val="16"/>
      </w:rPr>
      <w:t>ENSO and Cloud Cover mini-project — student handbook</w:t>
    </w:r>
    <w:r>
      <w:tab/>
    </w:r>
    <w:r>
      <w:rPr>
        <w:color w:val="666666"/>
        <w:sz w:val="16"/>
      </w:rPr>
      <w:t xml:space="preserve">Page </w:t>
    </w:r>
    <w:r>
      <w:fldChar w:fldCharType="begin"/>
    </w:r>
    <w:r>
      <w:instrText>PAGE</w:instrText>
    </w:r>
    <w:r w:rsidR="006C0572">
      <w:fldChar w:fldCharType="separate"/>
    </w:r>
    <w:r w:rsidR="006C0572">
      <w:rPr>
        <w:noProof/>
      </w:rPr>
      <w:t>1</w:t>
    </w:r>
    <w:r>
      <w:fldChar w:fldCharType="end"/>
    </w:r>
    <w:r>
      <w:rPr>
        <w:color w:val="666666"/>
        <w:sz w:val="16"/>
      </w:rPr>
      <w:t xml:space="preserve"> of </w:t>
    </w:r>
    <w:r>
      <w:fldChar w:fldCharType="begin"/>
    </w:r>
    <w:r>
      <w:instrText>NUMPAGES</w:instrText>
    </w:r>
    <w:r w:rsidR="006C0572">
      <w:fldChar w:fldCharType="separate"/>
    </w:r>
    <w:r w:rsidR="006C057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51BD41" w14:textId="77777777" w:rsidR="001D423A" w:rsidRDefault="001D423A">
      <w:pPr>
        <w:spacing w:after="0" w:line="240" w:lineRule="auto"/>
      </w:pPr>
      <w:r>
        <w:separator/>
      </w:r>
    </w:p>
  </w:footnote>
  <w:footnote w:type="continuationSeparator" w:id="0">
    <w:p w14:paraId="0042138F" w14:textId="77777777" w:rsidR="001D423A" w:rsidRDefault="001D4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546002">
    <w:abstractNumId w:val="8"/>
  </w:num>
  <w:num w:numId="2" w16cid:durableId="240331477">
    <w:abstractNumId w:val="6"/>
  </w:num>
  <w:num w:numId="3" w16cid:durableId="1929270488">
    <w:abstractNumId w:val="5"/>
  </w:num>
  <w:num w:numId="4" w16cid:durableId="1847940315">
    <w:abstractNumId w:val="4"/>
  </w:num>
  <w:num w:numId="5" w16cid:durableId="963778070">
    <w:abstractNumId w:val="7"/>
  </w:num>
  <w:num w:numId="6" w16cid:durableId="189950036">
    <w:abstractNumId w:val="3"/>
  </w:num>
  <w:num w:numId="7" w16cid:durableId="433786484">
    <w:abstractNumId w:val="2"/>
  </w:num>
  <w:num w:numId="8" w16cid:durableId="610936755">
    <w:abstractNumId w:val="1"/>
  </w:num>
  <w:num w:numId="9" w16cid:durableId="13195329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23A"/>
    <w:rsid w:val="0029639D"/>
    <w:rsid w:val="00302EB5"/>
    <w:rsid w:val="00326F90"/>
    <w:rsid w:val="006C0572"/>
    <w:rsid w:val="00A310E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297F9A"/>
  <w14:defaultImageDpi w14:val="300"/>
  <w15:docId w15:val="{7FBC2A92-DAD3-C940-AEBD-430B5815D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4F6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4F6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B4F6C"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52735"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52735"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B4F6C"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83A50"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B4F6C"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B4F6C" w:themeColor="accent1"/>
    </w:rPr>
  </w:style>
  <w:style w:type="paragraph" w:styleId="Title">
    <w:name w:val="Title"/>
    <w:basedOn w:val="Normal"/>
    <w:next w:val="Normal"/>
    <w:link w:val="TitleChar"/>
    <w:uiPriority w:val="10"/>
    <w:qFormat/>
    <w:rsid w:val="00FC693F"/>
    <w:pPr>
      <w:pBdr>
        <w:bottom w:val="single" w:sz="8" w:space="4" w:color="0B4F6C" w:themeColor="accent1"/>
      </w:pBdr>
      <w:spacing w:after="300" w:line="240" w:lineRule="auto"/>
      <w:contextualSpacing/>
    </w:pPr>
    <w:rPr>
      <w:rFonts w:asciiTheme="majorHAnsi" w:eastAsiaTheme="majorEastAsia" w:hAnsiTheme="majorHAnsi" w:cstheme="majorBidi"/>
      <w:color w:val="0B4F6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B4F6C"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B4F6C"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B4F6C"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52735"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52735"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B4F6C"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B4F6C"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B4F6C" w:themeColor="accent1"/>
      </w:pBdr>
      <w:spacing w:before="200" w:after="280"/>
      <w:ind w:left="936" w:right="936"/>
    </w:pPr>
    <w:rPr>
      <w:b/>
      <w:bCs/>
      <w:i/>
      <w:iCs/>
      <w:color w:val="0B4F6C"/>
    </w:rPr>
  </w:style>
  <w:style w:type="character" w:customStyle="1" w:styleId="IntenseQuoteChar">
    <w:name w:val="Intense Quote Char"/>
    <w:basedOn w:val="DefaultParagraphFont"/>
    <w:link w:val="IntenseQuote"/>
    <w:uiPriority w:val="30"/>
    <w:rsid w:val="00FC693F"/>
    <w:rPr>
      <w:b/>
      <w:bCs/>
      <w:i/>
      <w:iCs/>
      <w:color w:val="0B4F6C"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B4F6C"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83A50" w:themeColor="accent1" w:themeShade="BF"/>
    </w:rPr>
    <w:tblPr>
      <w:tblStyleRowBandSize w:val="1"/>
      <w:tblStyleColBandSize w:val="1"/>
      <w:tblBorders>
        <w:top w:val="single" w:sz="8" w:space="0" w:color="0B4F6C" w:themeColor="accent1"/>
        <w:bottom w:val="single" w:sz="8" w:space="0" w:color="0B4F6C" w:themeColor="accent1"/>
      </w:tblBorders>
    </w:tblPr>
    <w:tblStylePr w:type="firstRow">
      <w:pPr>
        <w:spacing w:before="0" w:after="0" w:line="240" w:lineRule="auto"/>
      </w:pPr>
      <w:rPr>
        <w:b/>
        <w:bCs/>
      </w:rPr>
      <w:tblPr/>
      <w:tcPr>
        <w:tcBorders>
          <w:top w:val="single" w:sz="8" w:space="0" w:color="0B4F6C" w:themeColor="accent1"/>
          <w:left w:val="nil"/>
          <w:bottom w:val="single" w:sz="8" w:space="0" w:color="0B4F6C" w:themeColor="accent1"/>
          <w:right w:val="nil"/>
          <w:insideH w:val="nil"/>
          <w:insideV w:val="nil"/>
        </w:tcBorders>
      </w:tcPr>
    </w:tblStylePr>
    <w:tblStylePr w:type="lastRow">
      <w:pPr>
        <w:spacing w:before="0" w:after="0" w:line="240" w:lineRule="auto"/>
      </w:pPr>
      <w:rPr>
        <w:b/>
        <w:bCs/>
      </w:rPr>
      <w:tblPr/>
      <w:tcPr>
        <w:tcBorders>
          <w:top w:val="single" w:sz="8" w:space="0" w:color="0B4F6C" w:themeColor="accent1"/>
          <w:left w:val="nil"/>
          <w:bottom w:val="single" w:sz="8" w:space="0" w:color="0B4F6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7DEF6" w:themeFill="accent1" w:themeFillTint="3F"/>
      </w:tcPr>
    </w:tblStylePr>
    <w:tblStylePr w:type="band1Horz">
      <w:tblPr/>
      <w:tcPr>
        <w:tcBorders>
          <w:left w:val="nil"/>
          <w:right w:val="nil"/>
          <w:insideH w:val="nil"/>
          <w:insideV w:val="nil"/>
        </w:tcBorders>
        <w:shd w:val="clear" w:color="auto" w:fill="A7DEF6"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B4F6C" w:themeColor="accent1"/>
        <w:left w:val="single" w:sz="8" w:space="0" w:color="0B4F6C" w:themeColor="accent1"/>
        <w:bottom w:val="single" w:sz="8" w:space="0" w:color="0B4F6C" w:themeColor="accent1"/>
        <w:right w:val="single" w:sz="8" w:space="0" w:color="0B4F6C" w:themeColor="accent1"/>
      </w:tblBorders>
    </w:tblPr>
    <w:tblStylePr w:type="firstRow">
      <w:pPr>
        <w:spacing w:before="0" w:after="0" w:line="240" w:lineRule="auto"/>
      </w:pPr>
      <w:rPr>
        <w:b/>
        <w:bCs/>
        <w:color w:val="FFFFFF" w:themeColor="background1"/>
      </w:rPr>
      <w:tblPr/>
      <w:tcPr>
        <w:shd w:val="clear" w:color="auto" w:fill="0B4F6C" w:themeFill="accent1"/>
      </w:tcPr>
    </w:tblStylePr>
    <w:tblStylePr w:type="lastRow">
      <w:pPr>
        <w:spacing w:before="0" w:after="0" w:line="240" w:lineRule="auto"/>
      </w:pPr>
      <w:rPr>
        <w:b/>
        <w:bCs/>
      </w:rPr>
      <w:tblPr/>
      <w:tcPr>
        <w:tcBorders>
          <w:top w:val="double" w:sz="6" w:space="0" w:color="0B4F6C" w:themeColor="accent1"/>
          <w:left w:val="single" w:sz="8" w:space="0" w:color="0B4F6C" w:themeColor="accent1"/>
          <w:bottom w:val="single" w:sz="8" w:space="0" w:color="0B4F6C" w:themeColor="accent1"/>
          <w:right w:val="single" w:sz="8" w:space="0" w:color="0B4F6C" w:themeColor="accent1"/>
        </w:tcBorders>
      </w:tcPr>
    </w:tblStylePr>
    <w:tblStylePr w:type="firstCol">
      <w:rPr>
        <w:b/>
        <w:bCs/>
      </w:rPr>
    </w:tblStylePr>
    <w:tblStylePr w:type="lastCol">
      <w:rPr>
        <w:b/>
        <w:bCs/>
      </w:rPr>
    </w:tblStylePr>
    <w:tblStylePr w:type="band1Vert">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tcPr>
    </w:tblStylePr>
    <w:tblStylePr w:type="band1Horz">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B4F6C" w:themeColor="accent1"/>
        <w:left w:val="single" w:sz="8" w:space="0" w:color="0B4F6C" w:themeColor="accent1"/>
        <w:bottom w:val="single" w:sz="8" w:space="0" w:color="0B4F6C" w:themeColor="accent1"/>
        <w:right w:val="single" w:sz="8" w:space="0" w:color="0B4F6C" w:themeColor="accent1"/>
        <w:insideH w:val="single" w:sz="8" w:space="0" w:color="0B4F6C" w:themeColor="accent1"/>
        <w:insideV w:val="single" w:sz="8" w:space="0" w:color="0B4F6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B4F6C" w:themeColor="accent1"/>
          <w:left w:val="single" w:sz="8" w:space="0" w:color="0B4F6C" w:themeColor="accent1"/>
          <w:bottom w:val="single" w:sz="18" w:space="0" w:color="0B4F6C" w:themeColor="accent1"/>
          <w:right w:val="single" w:sz="8" w:space="0" w:color="0B4F6C" w:themeColor="accent1"/>
          <w:insideH w:val="nil"/>
          <w:insideV w:val="single" w:sz="8" w:space="0" w:color="0B4F6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B4F6C" w:themeColor="accent1"/>
          <w:left w:val="single" w:sz="8" w:space="0" w:color="0B4F6C" w:themeColor="accent1"/>
          <w:bottom w:val="single" w:sz="8" w:space="0" w:color="0B4F6C" w:themeColor="accent1"/>
          <w:right w:val="single" w:sz="8" w:space="0" w:color="0B4F6C" w:themeColor="accent1"/>
          <w:insideH w:val="nil"/>
          <w:insideV w:val="single" w:sz="8" w:space="0" w:color="0B4F6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tcPr>
    </w:tblStylePr>
    <w:tblStylePr w:type="band1Vert">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shd w:val="clear" w:color="auto" w:fill="A7DEF6" w:themeFill="accent1" w:themeFillTint="3F"/>
      </w:tcPr>
    </w:tblStylePr>
    <w:tblStylePr w:type="band1Horz">
      <w:tblPr/>
      <w:tcPr>
        <w:tcBorders>
          <w:top w:val="single" w:sz="8" w:space="0" w:color="0B4F6C" w:themeColor="accent1"/>
          <w:left w:val="single" w:sz="8" w:space="0" w:color="0B4F6C" w:themeColor="accent1"/>
          <w:bottom w:val="single" w:sz="8" w:space="0" w:color="0B4F6C" w:themeColor="accent1"/>
          <w:right w:val="single" w:sz="8" w:space="0" w:color="0B4F6C" w:themeColor="accent1"/>
          <w:insideV w:val="single" w:sz="8" w:space="0" w:color="0B4F6C" w:themeColor="accent1"/>
        </w:tcBorders>
        <w:shd w:val="clear" w:color="auto" w:fill="A7DEF6" w:themeFill="accent1" w:themeFillTint="3F"/>
      </w:tcPr>
    </w:tblStylePr>
    <w:tblStylePr w:type="band2Horz">
      <w:tblPr/>
      <w:tcPr>
        <w:tcBorders>
          <w:top w:val="single" w:sz="8" w:space="0" w:color="0B4F6C" w:themeColor="accent1"/>
          <w:left w:val="single" w:sz="8" w:space="0" w:color="0B4F6C" w:themeColor="accent1"/>
          <w:bottom w:val="single" w:sz="8" w:space="0" w:color="0B4F6C" w:themeColor="accent1"/>
          <w:right w:val="single" w:sz="8" w:space="0" w:color="0B4F6C" w:themeColor="accent1"/>
          <w:insideV w:val="single" w:sz="8" w:space="0" w:color="0B4F6C"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148FC4" w:themeColor="accent1" w:themeTint="BF"/>
        <w:left w:val="single" w:sz="8" w:space="0" w:color="148FC4" w:themeColor="accent1" w:themeTint="BF"/>
        <w:bottom w:val="single" w:sz="8" w:space="0" w:color="148FC4" w:themeColor="accent1" w:themeTint="BF"/>
        <w:right w:val="single" w:sz="8" w:space="0" w:color="148FC4" w:themeColor="accent1" w:themeTint="BF"/>
        <w:insideH w:val="single" w:sz="8" w:space="0" w:color="148FC4" w:themeColor="accent1" w:themeTint="BF"/>
      </w:tblBorders>
    </w:tblPr>
    <w:tblStylePr w:type="firstRow">
      <w:pPr>
        <w:spacing w:before="0" w:after="0" w:line="240" w:lineRule="auto"/>
      </w:pPr>
      <w:rPr>
        <w:b/>
        <w:bCs/>
        <w:color w:val="FFFFFF" w:themeColor="background1"/>
      </w:rPr>
      <w:tblPr/>
      <w:tcPr>
        <w:tcBorders>
          <w:top w:val="single" w:sz="8" w:space="0" w:color="148FC4" w:themeColor="accent1" w:themeTint="BF"/>
          <w:left w:val="single" w:sz="8" w:space="0" w:color="148FC4" w:themeColor="accent1" w:themeTint="BF"/>
          <w:bottom w:val="single" w:sz="8" w:space="0" w:color="148FC4" w:themeColor="accent1" w:themeTint="BF"/>
          <w:right w:val="single" w:sz="8" w:space="0" w:color="148FC4" w:themeColor="accent1" w:themeTint="BF"/>
          <w:insideH w:val="nil"/>
          <w:insideV w:val="nil"/>
        </w:tcBorders>
        <w:shd w:val="clear" w:color="auto" w:fill="0B4F6C" w:themeFill="accent1"/>
      </w:tcPr>
    </w:tblStylePr>
    <w:tblStylePr w:type="lastRow">
      <w:pPr>
        <w:spacing w:before="0" w:after="0" w:line="240" w:lineRule="auto"/>
      </w:pPr>
      <w:rPr>
        <w:b/>
        <w:bCs/>
      </w:rPr>
      <w:tblPr/>
      <w:tcPr>
        <w:tcBorders>
          <w:top w:val="double" w:sz="6" w:space="0" w:color="148FC4" w:themeColor="accent1" w:themeTint="BF"/>
          <w:left w:val="single" w:sz="8" w:space="0" w:color="148FC4" w:themeColor="accent1" w:themeTint="BF"/>
          <w:bottom w:val="single" w:sz="8" w:space="0" w:color="148FC4" w:themeColor="accent1" w:themeTint="BF"/>
          <w:right w:val="single" w:sz="8" w:space="0" w:color="148FC4" w:themeColor="accent1" w:themeTint="BF"/>
          <w:insideH w:val="nil"/>
          <w:insideV w:val="nil"/>
        </w:tcBorders>
      </w:tcPr>
    </w:tblStylePr>
    <w:tblStylePr w:type="firstCol">
      <w:rPr>
        <w:b/>
        <w:bCs/>
      </w:rPr>
    </w:tblStylePr>
    <w:tblStylePr w:type="lastCol">
      <w:rPr>
        <w:b/>
        <w:bCs/>
      </w:rPr>
    </w:tblStylePr>
    <w:tblStylePr w:type="band1Vert">
      <w:tblPr/>
      <w:tcPr>
        <w:shd w:val="clear" w:color="auto" w:fill="A7DEF6" w:themeFill="accent1" w:themeFillTint="3F"/>
      </w:tcPr>
    </w:tblStylePr>
    <w:tblStylePr w:type="band1Horz">
      <w:tblPr/>
      <w:tcPr>
        <w:tcBorders>
          <w:insideH w:val="nil"/>
          <w:insideV w:val="nil"/>
        </w:tcBorders>
        <w:shd w:val="clear" w:color="auto" w:fill="A7DE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B4F6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B4F6C" w:themeFill="accent1"/>
      </w:tcPr>
    </w:tblStylePr>
    <w:tblStylePr w:type="lastCol">
      <w:rPr>
        <w:b/>
        <w:bCs/>
        <w:color w:val="FFFFFF" w:themeColor="background1"/>
      </w:rPr>
      <w:tblPr/>
      <w:tcPr>
        <w:tcBorders>
          <w:left w:val="nil"/>
          <w:right w:val="nil"/>
          <w:insideH w:val="nil"/>
          <w:insideV w:val="nil"/>
        </w:tcBorders>
        <w:shd w:val="clear" w:color="auto" w:fill="0B4F6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0B4F6C" w:themeColor="accent1"/>
        <w:bottom w:val="single" w:sz="8" w:space="0" w:color="0B4F6C" w:themeColor="accent1"/>
      </w:tblBorders>
    </w:tblPr>
    <w:tblStylePr w:type="firstRow">
      <w:rPr>
        <w:rFonts w:asciiTheme="majorHAnsi" w:eastAsiaTheme="majorEastAsia" w:hAnsiTheme="majorHAnsi" w:cstheme="majorBidi"/>
      </w:rPr>
      <w:tblPr/>
      <w:tcPr>
        <w:tcBorders>
          <w:top w:val="nil"/>
          <w:bottom w:val="single" w:sz="8" w:space="0" w:color="0B4F6C" w:themeColor="accent1"/>
        </w:tcBorders>
      </w:tcPr>
    </w:tblStylePr>
    <w:tblStylePr w:type="lastRow">
      <w:rPr>
        <w:b/>
        <w:bCs/>
        <w:color w:val="1F497D" w:themeColor="text2"/>
      </w:rPr>
      <w:tblPr/>
      <w:tcPr>
        <w:tcBorders>
          <w:top w:val="single" w:sz="8" w:space="0" w:color="0B4F6C" w:themeColor="accent1"/>
          <w:bottom w:val="single" w:sz="8" w:space="0" w:color="0B4F6C" w:themeColor="accent1"/>
        </w:tcBorders>
      </w:tcPr>
    </w:tblStylePr>
    <w:tblStylePr w:type="firstCol">
      <w:rPr>
        <w:b/>
        <w:bCs/>
      </w:rPr>
    </w:tblStylePr>
    <w:tblStylePr w:type="lastCol">
      <w:rPr>
        <w:b/>
        <w:bCs/>
      </w:rPr>
      <w:tblPr/>
      <w:tcPr>
        <w:tcBorders>
          <w:top w:val="single" w:sz="8" w:space="0" w:color="0B4F6C" w:themeColor="accent1"/>
          <w:bottom w:val="single" w:sz="8" w:space="0" w:color="0B4F6C" w:themeColor="accent1"/>
        </w:tcBorders>
      </w:tcPr>
    </w:tblStylePr>
    <w:tblStylePr w:type="band1Vert">
      <w:tblPr/>
      <w:tcPr>
        <w:shd w:val="clear" w:color="auto" w:fill="A7DEF6" w:themeFill="accent1" w:themeFillTint="3F"/>
      </w:tcPr>
    </w:tblStylePr>
    <w:tblStylePr w:type="band1Horz">
      <w:tblPr/>
      <w:tcPr>
        <w:shd w:val="clear" w:color="auto" w:fill="A7DE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B4F6C" w:themeColor="accent1"/>
        <w:left w:val="single" w:sz="8" w:space="0" w:color="0B4F6C" w:themeColor="accent1"/>
        <w:bottom w:val="single" w:sz="8" w:space="0" w:color="0B4F6C" w:themeColor="accent1"/>
        <w:right w:val="single" w:sz="8" w:space="0" w:color="0B4F6C" w:themeColor="accent1"/>
      </w:tblBorders>
    </w:tblPr>
    <w:tblStylePr w:type="firstRow">
      <w:rPr>
        <w:sz w:val="24"/>
        <w:szCs w:val="24"/>
      </w:rPr>
      <w:tblPr/>
      <w:tcPr>
        <w:tcBorders>
          <w:top w:val="nil"/>
          <w:left w:val="nil"/>
          <w:bottom w:val="single" w:sz="24" w:space="0" w:color="0B4F6C" w:themeColor="accent1"/>
          <w:right w:val="nil"/>
          <w:insideH w:val="nil"/>
          <w:insideV w:val="nil"/>
        </w:tcBorders>
        <w:shd w:val="clear" w:color="auto" w:fill="FFFFFF" w:themeFill="background1"/>
      </w:tcPr>
    </w:tblStylePr>
    <w:tblStylePr w:type="lastRow">
      <w:tblPr/>
      <w:tcPr>
        <w:tcBorders>
          <w:top w:val="single" w:sz="8" w:space="0" w:color="0B4F6C"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B4F6C" w:themeColor="accent1"/>
          <w:insideH w:val="nil"/>
          <w:insideV w:val="nil"/>
        </w:tcBorders>
        <w:shd w:val="clear" w:color="auto" w:fill="FFFFFF" w:themeFill="background1"/>
      </w:tcPr>
    </w:tblStylePr>
    <w:tblStylePr w:type="lastCol">
      <w:tblPr/>
      <w:tcPr>
        <w:tcBorders>
          <w:top w:val="nil"/>
          <w:left w:val="single" w:sz="8" w:space="0" w:color="0B4F6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7DEF6" w:themeFill="accent1" w:themeFillTint="3F"/>
      </w:tcPr>
    </w:tblStylePr>
    <w:tblStylePr w:type="band1Horz">
      <w:tblPr/>
      <w:tcPr>
        <w:tcBorders>
          <w:top w:val="nil"/>
          <w:bottom w:val="nil"/>
          <w:insideH w:val="nil"/>
          <w:insideV w:val="nil"/>
        </w:tcBorders>
        <w:shd w:val="clear" w:color="auto" w:fill="A7DE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148FC4" w:themeColor="accent1" w:themeTint="BF"/>
        <w:left w:val="single" w:sz="8" w:space="0" w:color="148FC4" w:themeColor="accent1" w:themeTint="BF"/>
        <w:bottom w:val="single" w:sz="8" w:space="0" w:color="148FC4" w:themeColor="accent1" w:themeTint="BF"/>
        <w:right w:val="single" w:sz="8" w:space="0" w:color="148FC4" w:themeColor="accent1" w:themeTint="BF"/>
        <w:insideH w:val="single" w:sz="8" w:space="0" w:color="148FC4" w:themeColor="accent1" w:themeTint="BF"/>
        <w:insideV w:val="single" w:sz="8" w:space="0" w:color="148FC4" w:themeColor="accent1" w:themeTint="BF"/>
      </w:tblBorders>
    </w:tblPr>
    <w:tcPr>
      <w:shd w:val="clear" w:color="auto" w:fill="A7DEF6" w:themeFill="accent1" w:themeFillTint="3F"/>
    </w:tcPr>
    <w:tblStylePr w:type="firstRow">
      <w:rPr>
        <w:b/>
        <w:bCs/>
      </w:rPr>
    </w:tblStylePr>
    <w:tblStylePr w:type="lastRow">
      <w:rPr>
        <w:b/>
        <w:bCs/>
      </w:rPr>
      <w:tblPr/>
      <w:tcPr>
        <w:tcBorders>
          <w:top w:val="single" w:sz="18" w:space="0" w:color="148FC4" w:themeColor="accent1" w:themeTint="BF"/>
        </w:tcBorders>
      </w:tcPr>
    </w:tblStylePr>
    <w:tblStylePr w:type="firstCol">
      <w:rPr>
        <w:b/>
        <w:bCs/>
      </w:rPr>
    </w:tblStylePr>
    <w:tblStylePr w:type="lastCol">
      <w:rPr>
        <w:b/>
        <w:bCs/>
      </w:rPr>
    </w:tblStylePr>
    <w:tblStylePr w:type="band1Vert">
      <w:tblPr/>
      <w:tcPr>
        <w:shd w:val="clear" w:color="auto" w:fill="4EBCED" w:themeFill="accent1" w:themeFillTint="7F"/>
      </w:tcPr>
    </w:tblStylePr>
    <w:tblStylePr w:type="band1Horz">
      <w:tblPr/>
      <w:tcPr>
        <w:shd w:val="clear" w:color="auto" w:fill="4EBCED"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B4F6C" w:themeColor="accent1"/>
        <w:left w:val="single" w:sz="8" w:space="0" w:color="0B4F6C" w:themeColor="accent1"/>
        <w:bottom w:val="single" w:sz="8" w:space="0" w:color="0B4F6C" w:themeColor="accent1"/>
        <w:right w:val="single" w:sz="8" w:space="0" w:color="0B4F6C" w:themeColor="accent1"/>
        <w:insideH w:val="single" w:sz="8" w:space="0" w:color="0B4F6C" w:themeColor="accent1"/>
        <w:insideV w:val="single" w:sz="8" w:space="0" w:color="0B4F6C" w:themeColor="accent1"/>
      </w:tblBorders>
    </w:tblPr>
    <w:tcPr>
      <w:shd w:val="clear" w:color="auto" w:fill="A7DEF6" w:themeFill="accent1" w:themeFillTint="3F"/>
    </w:tcPr>
    <w:tblStylePr w:type="firstRow">
      <w:rPr>
        <w:b/>
        <w:bCs/>
        <w:color w:val="000000" w:themeColor="text1"/>
      </w:rPr>
      <w:tblPr/>
      <w:tcPr>
        <w:shd w:val="clear" w:color="auto" w:fill="DCF2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7E4F7" w:themeFill="accent1" w:themeFillTint="33"/>
      </w:tcPr>
    </w:tblStylePr>
    <w:tblStylePr w:type="band1Vert">
      <w:tblPr/>
      <w:tcPr>
        <w:shd w:val="clear" w:color="auto" w:fill="4EBCED" w:themeFill="accent1" w:themeFillTint="7F"/>
      </w:tcPr>
    </w:tblStylePr>
    <w:tblStylePr w:type="band1Horz">
      <w:tblPr/>
      <w:tcPr>
        <w:tcBorders>
          <w:insideH w:val="single" w:sz="6" w:space="0" w:color="0B4F6C" w:themeColor="accent1"/>
          <w:insideV w:val="single" w:sz="6" w:space="0" w:color="0B4F6C" w:themeColor="accent1"/>
        </w:tcBorders>
        <w:shd w:val="clear" w:color="auto" w:fill="4EBCE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7DE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B4F6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B4F6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B4F6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B4F6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EBCE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EBCED"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0B4F6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5273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83A5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83A50" w:themeFill="accent1" w:themeFillShade="BF"/>
      </w:tcPr>
    </w:tblStylePr>
    <w:tblStylePr w:type="band1Vert">
      <w:tblPr/>
      <w:tcPr>
        <w:tcBorders>
          <w:top w:val="nil"/>
          <w:left w:val="nil"/>
          <w:bottom w:val="nil"/>
          <w:right w:val="nil"/>
          <w:insideH w:val="nil"/>
          <w:insideV w:val="nil"/>
        </w:tcBorders>
        <w:shd w:val="clear" w:color="auto" w:fill="083A50" w:themeFill="accent1" w:themeFillShade="BF"/>
      </w:tcPr>
    </w:tblStylePr>
    <w:tblStylePr w:type="band1Horz">
      <w:tblPr/>
      <w:tcPr>
        <w:tcBorders>
          <w:top w:val="nil"/>
          <w:left w:val="nil"/>
          <w:bottom w:val="nil"/>
          <w:right w:val="nil"/>
          <w:insideH w:val="nil"/>
          <w:insideV w:val="nil"/>
        </w:tcBorders>
        <w:shd w:val="clear" w:color="auto" w:fill="083A50"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B4F6C" w:themeColor="accent1"/>
        <w:bottom w:val="single" w:sz="4" w:space="0" w:color="0B4F6C" w:themeColor="accent1"/>
        <w:right w:val="single" w:sz="4" w:space="0" w:color="0B4F6C" w:themeColor="accent1"/>
        <w:insideH w:val="single" w:sz="4" w:space="0" w:color="FFFFFF" w:themeColor="background1"/>
        <w:insideV w:val="single" w:sz="4" w:space="0" w:color="FFFFFF" w:themeColor="background1"/>
      </w:tblBorders>
    </w:tblPr>
    <w:tcPr>
      <w:shd w:val="clear" w:color="auto" w:fill="DCF2FB"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62F40" w:themeFill="accent1" w:themeFillShade="99"/>
      </w:tcPr>
    </w:tblStylePr>
    <w:tblStylePr w:type="firstCol">
      <w:rPr>
        <w:color w:val="FFFFFF" w:themeColor="background1"/>
      </w:rPr>
      <w:tblPr/>
      <w:tcPr>
        <w:tcBorders>
          <w:top w:val="nil"/>
          <w:left w:val="nil"/>
          <w:bottom w:val="nil"/>
          <w:right w:val="nil"/>
          <w:insideH w:val="single" w:sz="4" w:space="0" w:color="062F40" w:themeColor="accent1" w:themeShade="99"/>
          <w:insideV w:val="nil"/>
        </w:tcBorders>
        <w:shd w:val="clear" w:color="auto" w:fill="062F4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62F40" w:themeFill="accent1" w:themeFillShade="99"/>
      </w:tcPr>
    </w:tblStylePr>
    <w:tblStylePr w:type="band1Vert">
      <w:tblPr/>
      <w:tcPr>
        <w:shd w:val="clear" w:color="auto" w:fill="70CAF0" w:themeFill="accent1" w:themeFillTint="66"/>
      </w:tcPr>
    </w:tblStylePr>
    <w:tblStylePr w:type="band1Horz">
      <w:tblPr/>
      <w:tcPr>
        <w:shd w:val="clear" w:color="auto" w:fill="4EBCED"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DCF2FB"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7DEF6" w:themeFill="accent1" w:themeFillTint="3F"/>
      </w:tcPr>
    </w:tblStylePr>
    <w:tblStylePr w:type="band1Horz">
      <w:tblPr/>
      <w:tcPr>
        <w:shd w:val="clear" w:color="auto" w:fill="B7E4F7"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B7E4F7" w:themeFill="accent1" w:themeFillTint="33"/>
    </w:tcPr>
    <w:tblStylePr w:type="firstRow">
      <w:rPr>
        <w:b/>
        <w:bCs/>
      </w:rPr>
      <w:tblPr/>
      <w:tcPr>
        <w:shd w:val="clear" w:color="auto" w:fill="70CAF0" w:themeFill="accent1" w:themeFillTint="66"/>
      </w:tcPr>
    </w:tblStylePr>
    <w:tblStylePr w:type="lastRow">
      <w:rPr>
        <w:b/>
        <w:bCs/>
        <w:color w:val="000000" w:themeColor="text1"/>
      </w:rPr>
      <w:tblPr/>
      <w:tcPr>
        <w:shd w:val="clear" w:color="auto" w:fill="70CAF0" w:themeFill="accent1" w:themeFillTint="66"/>
      </w:tcPr>
    </w:tblStylePr>
    <w:tblStylePr w:type="firstCol">
      <w:rPr>
        <w:color w:val="FFFFFF" w:themeColor="background1"/>
      </w:rPr>
      <w:tblPr/>
      <w:tcPr>
        <w:shd w:val="clear" w:color="auto" w:fill="083A50" w:themeFill="accent1" w:themeFillShade="BF"/>
      </w:tcPr>
    </w:tblStylePr>
    <w:tblStylePr w:type="lastCol">
      <w:rPr>
        <w:color w:val="FFFFFF" w:themeColor="background1"/>
      </w:rPr>
      <w:tblPr/>
      <w:tcPr>
        <w:shd w:val="clear" w:color="auto" w:fill="083A50" w:themeFill="accent1" w:themeFillShade="BF"/>
      </w:tcPr>
    </w:tblStylePr>
    <w:tblStylePr w:type="band1Vert">
      <w:tblPr/>
      <w:tcPr>
        <w:shd w:val="clear" w:color="auto" w:fill="4EBCED" w:themeFill="accent1" w:themeFillTint="7F"/>
      </w:tcPr>
    </w:tblStylePr>
    <w:tblStylePr w:type="band1Horz">
      <w:tblPr/>
      <w:tcPr>
        <w:shd w:val="clear" w:color="auto" w:fill="4EBCED"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B4F6C"/>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3135</Words>
  <Characters>16934</Characters>
  <Application>Microsoft Office Word</Application>
  <DocSecurity>0</DocSecurity>
  <Lines>333</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Paul Connolly</cp:lastModifiedBy>
  <cp:revision>2</cp:revision>
  <dcterms:created xsi:type="dcterms:W3CDTF">2013-12-23T23:15:00Z</dcterms:created>
  <dcterms:modified xsi:type="dcterms:W3CDTF">2026-09-17T21:04:00Z</dcterms:modified>
  <cp:category/>
</cp:coreProperties>
</file>