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84DF" w14:textId="77777777" w:rsidR="00EF02A5"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14297" w:type="dxa"/>
        <w:tblLook w:val="04A0" w:firstRow="1" w:lastRow="0" w:firstColumn="1" w:lastColumn="0" w:noHBand="0" w:noVBand="1"/>
      </w:tblPr>
      <w:tblGrid>
        <w:gridCol w:w="3005"/>
        <w:gridCol w:w="3005"/>
        <w:gridCol w:w="8287"/>
      </w:tblGrid>
      <w:tr w:rsidR="00567F2C" w14:paraId="34019198" w14:textId="77777777" w:rsidTr="00710DF8">
        <w:tc>
          <w:tcPr>
            <w:tcW w:w="3005" w:type="dxa"/>
          </w:tcPr>
          <w:p w14:paraId="1ED8EB93" w14:textId="77777777" w:rsidR="00567F2C" w:rsidRPr="00567F2C" w:rsidRDefault="00567F2C">
            <w:pPr>
              <w:rPr>
                <w:rFonts w:ascii="Times New Roman" w:hAnsi="Times New Roman" w:cs="Times New Roman"/>
                <w:b/>
              </w:rPr>
            </w:pPr>
            <w:r w:rsidRPr="00567F2C">
              <w:rPr>
                <w:rFonts w:ascii="Times New Roman" w:hAnsi="Times New Roman" w:cs="Times New Roman"/>
                <w:b/>
              </w:rPr>
              <w:t>Parameter</w:t>
            </w:r>
          </w:p>
        </w:tc>
        <w:tc>
          <w:tcPr>
            <w:tcW w:w="3005" w:type="dxa"/>
          </w:tcPr>
          <w:p w14:paraId="02D22A4B" w14:textId="77777777" w:rsidR="00567F2C" w:rsidRPr="00567F2C" w:rsidRDefault="00567F2C">
            <w:pPr>
              <w:rPr>
                <w:rFonts w:ascii="Times New Roman" w:hAnsi="Times New Roman" w:cs="Times New Roman"/>
                <w:b/>
              </w:rPr>
            </w:pPr>
            <w:r w:rsidRPr="00567F2C">
              <w:rPr>
                <w:rFonts w:ascii="Times New Roman" w:hAnsi="Times New Roman" w:cs="Times New Roman"/>
                <w:b/>
              </w:rPr>
              <w:t>Value</w:t>
            </w:r>
          </w:p>
        </w:tc>
        <w:tc>
          <w:tcPr>
            <w:tcW w:w="8287" w:type="dxa"/>
          </w:tcPr>
          <w:p w14:paraId="53AD2216" w14:textId="77777777" w:rsidR="00567F2C" w:rsidRPr="00567F2C" w:rsidRDefault="00567F2C">
            <w:pPr>
              <w:rPr>
                <w:rFonts w:ascii="Times New Roman" w:hAnsi="Times New Roman" w:cs="Times New Roman"/>
                <w:b/>
              </w:rPr>
            </w:pPr>
            <w:r w:rsidRPr="00567F2C">
              <w:rPr>
                <w:rFonts w:ascii="Times New Roman" w:hAnsi="Times New Roman" w:cs="Times New Roman"/>
                <w:b/>
              </w:rPr>
              <w:t>Sources and Assumptions</w:t>
            </w:r>
          </w:p>
        </w:tc>
      </w:tr>
      <w:tr w:rsidR="00567F2C" w14:paraId="6256B4EE" w14:textId="77777777" w:rsidTr="00710DF8">
        <w:tc>
          <w:tcPr>
            <w:tcW w:w="3005" w:type="dxa"/>
          </w:tcPr>
          <w:p w14:paraId="3B3B3867" w14:textId="77777777" w:rsidR="00567F2C" w:rsidRPr="00567F2C" w:rsidRDefault="00567F2C">
            <w:pPr>
              <w:rPr>
                <w:rFonts w:ascii="Times New Roman" w:hAnsi="Times New Roman" w:cs="Times New Roman"/>
              </w:rPr>
            </w:pPr>
            <w:r>
              <w:rPr>
                <w:rFonts w:ascii="Times New Roman" w:hAnsi="Times New Roman" w:cs="Times New Roman"/>
              </w:rPr>
              <w:t>Uptake for screening</w:t>
            </w:r>
          </w:p>
        </w:tc>
        <w:tc>
          <w:tcPr>
            <w:tcW w:w="3005" w:type="dxa"/>
          </w:tcPr>
          <w:p w14:paraId="69EFAC7E" w14:textId="77777777" w:rsidR="00567F2C" w:rsidRPr="00567F2C" w:rsidRDefault="00567F2C">
            <w:pPr>
              <w:rPr>
                <w:rFonts w:ascii="Times New Roman" w:hAnsi="Times New Roman" w:cs="Times New Roman"/>
              </w:rPr>
            </w:pPr>
            <w:r>
              <w:rPr>
                <w:rFonts w:ascii="Times New Roman" w:hAnsi="Times New Roman" w:cs="Times New Roman"/>
              </w:rPr>
              <w:t>69.1%</w:t>
            </w:r>
          </w:p>
        </w:tc>
        <w:tc>
          <w:tcPr>
            <w:tcW w:w="8287" w:type="dxa"/>
          </w:tcPr>
          <w:p w14:paraId="2AB95F40" w14:textId="77777777" w:rsidR="00567F2C" w:rsidRDefault="00567F2C">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[1]</w:t>
            </w:r>
            <w:r>
              <w:rPr>
                <w:rFonts w:ascii="Times New Roman" w:hAnsi="Times New Roman" w:cs="Times New Roman"/>
              </w:rPr>
              <w:fldChar w:fldCharType="end"/>
            </w:r>
          </w:p>
          <w:p w14:paraId="2487EF4C" w14:textId="77777777" w:rsidR="00567F2C" w:rsidRDefault="00567F2C">
            <w:pPr>
              <w:rPr>
                <w:rFonts w:ascii="Times New Roman" w:hAnsi="Times New Roman" w:cs="Times New Roman"/>
              </w:rPr>
            </w:pPr>
          </w:p>
          <w:p w14:paraId="0DF3F04F" w14:textId="77777777" w:rsidR="00567F2C" w:rsidRPr="00567F2C" w:rsidRDefault="00567F2C">
            <w:pPr>
              <w:rPr>
                <w:rFonts w:ascii="Times New Roman" w:hAnsi="Times New Roman" w:cs="Times New Roman"/>
              </w:rPr>
            </w:pPr>
            <w:r>
              <w:rPr>
                <w:rFonts w:ascii="Times New Roman" w:hAnsi="Times New Roman" w:cs="Times New Roman"/>
              </w:rPr>
              <w:t>Women have an equal chance of missing any screen regardless of order in the screening programme</w:t>
            </w:r>
          </w:p>
        </w:tc>
      </w:tr>
      <w:tr w:rsidR="00F35740" w14:paraId="08E67A51" w14:textId="77777777" w:rsidTr="00710DF8">
        <w:tc>
          <w:tcPr>
            <w:tcW w:w="3005" w:type="dxa"/>
          </w:tcPr>
          <w:p w14:paraId="73913215" w14:textId="7D678A1F" w:rsidR="00F35740" w:rsidRDefault="00F35740">
            <w:pPr>
              <w:rPr>
                <w:rFonts w:ascii="Times New Roman" w:hAnsi="Times New Roman" w:cs="Times New Roman"/>
              </w:rPr>
            </w:pPr>
            <w:r>
              <w:rPr>
                <w:rFonts w:ascii="Times New Roman" w:hAnsi="Times New Roman" w:cs="Times New Roman"/>
              </w:rPr>
              <w:t>Uptake for prediction of risk of breast cancer</w:t>
            </w:r>
          </w:p>
        </w:tc>
        <w:tc>
          <w:tcPr>
            <w:tcW w:w="3005" w:type="dxa"/>
          </w:tcPr>
          <w:p w14:paraId="772E6D6E" w14:textId="77777777" w:rsidR="00F35740" w:rsidRDefault="00F35740">
            <w:pPr>
              <w:rPr>
                <w:rFonts w:ascii="Times New Roman" w:hAnsi="Times New Roman" w:cs="Times New Roman"/>
              </w:rPr>
            </w:pPr>
            <w:r>
              <w:rPr>
                <w:rFonts w:ascii="Times New Roman" w:hAnsi="Times New Roman" w:cs="Times New Roman"/>
              </w:rPr>
              <w:t>100% in base case</w:t>
            </w:r>
          </w:p>
          <w:p w14:paraId="02687AA5" w14:textId="77777777" w:rsidR="00F35740" w:rsidRDefault="00F35740">
            <w:pPr>
              <w:rPr>
                <w:rFonts w:ascii="Times New Roman" w:hAnsi="Times New Roman" w:cs="Times New Roman"/>
              </w:rPr>
            </w:pPr>
          </w:p>
          <w:p w14:paraId="243B384E" w14:textId="06F27A06" w:rsidR="00F35740" w:rsidRDefault="00F35740">
            <w:pPr>
              <w:rPr>
                <w:rFonts w:ascii="Times New Roman" w:hAnsi="Times New Roman" w:cs="Times New Roman"/>
              </w:rPr>
            </w:pPr>
            <w:r>
              <w:rPr>
                <w:rFonts w:ascii="Times New Roman" w:hAnsi="Times New Roman" w:cs="Times New Roman"/>
              </w:rPr>
              <w:t>60% in sensitivity analysis</w:t>
            </w:r>
          </w:p>
        </w:tc>
        <w:tc>
          <w:tcPr>
            <w:tcW w:w="8287" w:type="dxa"/>
          </w:tcPr>
          <w:p w14:paraId="0EEBD8BD" w14:textId="00C7462A" w:rsidR="00F35740" w:rsidRDefault="00F35740">
            <w:pPr>
              <w:rPr>
                <w:rFonts w:ascii="Times New Roman" w:hAnsi="Times New Roman" w:cs="Times New Roman"/>
              </w:rPr>
            </w:pPr>
            <w:r>
              <w:rPr>
                <w:rFonts w:ascii="Times New Roman" w:hAnsi="Times New Roman" w:cs="Times New Roman"/>
              </w:rPr>
              <w:t>Expert opinion</w:t>
            </w:r>
            <w:bookmarkStart w:id="0" w:name="_GoBack"/>
            <w:bookmarkEnd w:id="0"/>
          </w:p>
        </w:tc>
      </w:tr>
      <w:tr w:rsidR="00F35740" w14:paraId="0DB5669F" w14:textId="77777777" w:rsidTr="00710DF8">
        <w:tc>
          <w:tcPr>
            <w:tcW w:w="3005" w:type="dxa"/>
          </w:tcPr>
          <w:p w14:paraId="1AA4B551" w14:textId="719C0383" w:rsidR="00F35740" w:rsidRDefault="00F35740">
            <w:pPr>
              <w:rPr>
                <w:rFonts w:ascii="Times New Roman" w:hAnsi="Times New Roman" w:cs="Times New Roman"/>
              </w:rPr>
            </w:pPr>
            <w:r>
              <w:rPr>
                <w:rFonts w:ascii="Times New Roman" w:hAnsi="Times New Roman" w:cs="Times New Roman"/>
              </w:rPr>
              <w:t>Uptake for receipt of risk information</w:t>
            </w:r>
          </w:p>
        </w:tc>
        <w:tc>
          <w:tcPr>
            <w:tcW w:w="3005" w:type="dxa"/>
          </w:tcPr>
          <w:p w14:paraId="06AE8210" w14:textId="77777777" w:rsidR="00F35740" w:rsidRDefault="00F35740">
            <w:pPr>
              <w:rPr>
                <w:rFonts w:ascii="Times New Roman" w:hAnsi="Times New Roman" w:cs="Times New Roman"/>
              </w:rPr>
            </w:pPr>
            <w:r>
              <w:rPr>
                <w:rFonts w:ascii="Times New Roman" w:hAnsi="Times New Roman" w:cs="Times New Roman"/>
              </w:rPr>
              <w:t>100% in base case</w:t>
            </w:r>
          </w:p>
          <w:p w14:paraId="3FBB35E4" w14:textId="77777777" w:rsidR="00F35740" w:rsidRDefault="00F35740">
            <w:pPr>
              <w:rPr>
                <w:rFonts w:ascii="Times New Roman" w:hAnsi="Times New Roman" w:cs="Times New Roman"/>
              </w:rPr>
            </w:pPr>
          </w:p>
          <w:p w14:paraId="3BCCB5CC" w14:textId="3F88A0C1" w:rsidR="00F35740" w:rsidRDefault="00F35740">
            <w:pPr>
              <w:rPr>
                <w:rFonts w:ascii="Times New Roman" w:hAnsi="Times New Roman" w:cs="Times New Roman"/>
              </w:rPr>
            </w:pPr>
            <w:r>
              <w:rPr>
                <w:rFonts w:ascii="Times New Roman" w:hAnsi="Times New Roman" w:cs="Times New Roman"/>
              </w:rPr>
              <w:t>95% in sensitivity analysis</w:t>
            </w:r>
          </w:p>
        </w:tc>
        <w:tc>
          <w:tcPr>
            <w:tcW w:w="8287" w:type="dxa"/>
          </w:tcPr>
          <w:p w14:paraId="376736FD" w14:textId="36BC1B03" w:rsidR="00F35740" w:rsidRDefault="00F35740">
            <w:pPr>
              <w:rPr>
                <w:rFonts w:ascii="Times New Roman" w:hAnsi="Times New Roman" w:cs="Times New Roman"/>
              </w:rPr>
            </w:pPr>
            <w:r>
              <w:rPr>
                <w:rFonts w:ascii="Times New Roman" w:hAnsi="Times New Roman" w:cs="Times New Roman"/>
              </w:rPr>
              <w:t>Expert opinion</w:t>
            </w:r>
          </w:p>
        </w:tc>
      </w:tr>
      <w:tr w:rsidR="00F35740" w14:paraId="12942270" w14:textId="77777777" w:rsidTr="00710DF8">
        <w:tc>
          <w:tcPr>
            <w:tcW w:w="3005" w:type="dxa"/>
          </w:tcPr>
          <w:p w14:paraId="032EAC05" w14:textId="72109A57" w:rsidR="00F35740" w:rsidRDefault="00F35740">
            <w:pPr>
              <w:rPr>
                <w:rFonts w:ascii="Times New Roman" w:hAnsi="Times New Roman" w:cs="Times New Roman"/>
              </w:rPr>
            </w:pPr>
            <w:r>
              <w:rPr>
                <w:rFonts w:ascii="Times New Roman" w:hAnsi="Times New Roman" w:cs="Times New Roman"/>
              </w:rPr>
              <w:t>Proportion of women who change screening intervals based on risk information</w:t>
            </w:r>
          </w:p>
        </w:tc>
        <w:tc>
          <w:tcPr>
            <w:tcW w:w="3005" w:type="dxa"/>
          </w:tcPr>
          <w:p w14:paraId="0ED384CE" w14:textId="77777777" w:rsidR="00F35740" w:rsidRDefault="00F35740">
            <w:pPr>
              <w:rPr>
                <w:rFonts w:ascii="Times New Roman" w:hAnsi="Times New Roman" w:cs="Times New Roman"/>
              </w:rPr>
            </w:pPr>
            <w:r>
              <w:rPr>
                <w:rFonts w:ascii="Times New Roman" w:hAnsi="Times New Roman" w:cs="Times New Roman"/>
              </w:rPr>
              <w:t>100% in base case</w:t>
            </w:r>
          </w:p>
          <w:p w14:paraId="3BFF8723" w14:textId="77777777" w:rsidR="00F35740" w:rsidRDefault="00F35740">
            <w:pPr>
              <w:rPr>
                <w:rFonts w:ascii="Times New Roman" w:hAnsi="Times New Roman" w:cs="Times New Roman"/>
              </w:rPr>
            </w:pPr>
          </w:p>
          <w:p w14:paraId="3089EF85" w14:textId="31C56A3B" w:rsidR="00F35740" w:rsidRDefault="00F35740">
            <w:pPr>
              <w:rPr>
                <w:rFonts w:ascii="Times New Roman" w:hAnsi="Times New Roman" w:cs="Times New Roman"/>
              </w:rPr>
            </w:pPr>
            <w:r>
              <w:rPr>
                <w:rFonts w:ascii="Times New Roman" w:hAnsi="Times New Roman" w:cs="Times New Roman"/>
              </w:rPr>
              <w:t>80% in base case</w:t>
            </w:r>
          </w:p>
        </w:tc>
        <w:tc>
          <w:tcPr>
            <w:tcW w:w="8287" w:type="dxa"/>
          </w:tcPr>
          <w:p w14:paraId="36B68188" w14:textId="6FF43B20" w:rsidR="00F35740" w:rsidRDefault="00F35740">
            <w:pPr>
              <w:rPr>
                <w:rFonts w:ascii="Times New Roman" w:hAnsi="Times New Roman" w:cs="Times New Roman"/>
              </w:rPr>
            </w:pPr>
            <w:r>
              <w:rPr>
                <w:rFonts w:ascii="Times New Roman" w:hAnsi="Times New Roman" w:cs="Times New Roman"/>
              </w:rPr>
              <w:t>Expert opinion</w:t>
            </w:r>
          </w:p>
        </w:tc>
      </w:tr>
      <w:tr w:rsidR="00567F2C" w14:paraId="122F849C" w14:textId="77777777" w:rsidTr="00710DF8">
        <w:tc>
          <w:tcPr>
            <w:tcW w:w="3005" w:type="dxa"/>
          </w:tcPr>
          <w:p w14:paraId="3367EB13" w14:textId="77777777" w:rsidR="00567F2C" w:rsidRPr="00567F2C" w:rsidRDefault="00567F2C">
            <w:pPr>
              <w:rPr>
                <w:rFonts w:ascii="Times New Roman" w:hAnsi="Times New Roman" w:cs="Times New Roman"/>
              </w:rPr>
            </w:pPr>
            <w:r>
              <w:rPr>
                <w:rFonts w:ascii="Times New Roman" w:hAnsi="Times New Roman" w:cs="Times New Roman"/>
              </w:rPr>
              <w:t>Proportion of cancers detected by screening</w:t>
            </w:r>
          </w:p>
        </w:tc>
        <w:tc>
          <w:tcPr>
            <w:tcW w:w="3005" w:type="dxa"/>
          </w:tcPr>
          <w:p w14:paraId="34B1FEDC" w14:textId="77777777" w:rsidR="00567F2C" w:rsidRPr="00567F2C" w:rsidRDefault="00567F2C">
            <w:pPr>
              <w:rPr>
                <w:rFonts w:ascii="Times New Roman" w:hAnsi="Times New Roman" w:cs="Times New Roman"/>
              </w:rPr>
            </w:pPr>
            <w:r>
              <w:rPr>
                <w:rFonts w:ascii="Times New Roman" w:hAnsi="Times New Roman" w:cs="Times New Roman"/>
              </w:rPr>
              <w:t>43.1%</w:t>
            </w:r>
          </w:p>
        </w:tc>
        <w:tc>
          <w:tcPr>
            <w:tcW w:w="8287" w:type="dxa"/>
          </w:tcPr>
          <w:p w14:paraId="2B8B1849" w14:textId="77777777" w:rsidR="00567F2C" w:rsidRPr="00567F2C" w:rsidRDefault="00567F2C">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{"citationItems":[{"id":"ITEM-1","itemData":{"URL":"https://crukcancerintelligence.shinyapps.io/EarlyDiagnosis/","accessed":{"date-parts":[["2022","4","14"]]},"author":[{"dropping-particle":"","family":"Cancer Research UK","given":"","non-dropping-particle":"","parse-names":false,"suffix":""}],"id":"ITEM-1","issued":{"date-parts":[["2022"]]},"title":"Early Diagnosis Data Hub","type":"webpage"},"uris":["http://www.mendeley.com/documents/?uuid=47dd2d52-8d90-36bc-9312-86b54e2eb336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[2]</w:t>
            </w:r>
            <w:r>
              <w:rPr>
                <w:rFonts w:ascii="Times New Roman" w:hAnsi="Times New Roman" w:cs="Times New Roman"/>
              </w:rPr>
              <w:fldChar w:fldCharType="end"/>
            </w:r>
          </w:p>
        </w:tc>
      </w:tr>
      <w:tr w:rsidR="00567F2C" w14:paraId="029EE7D0" w14:textId="77777777" w:rsidTr="00710DF8">
        <w:tc>
          <w:tcPr>
            <w:tcW w:w="3005" w:type="dxa"/>
          </w:tcPr>
          <w:p w14:paraId="43FF1137" w14:textId="77777777" w:rsidR="00567F2C" w:rsidRPr="00567F2C" w:rsidRDefault="00BE6963">
            <w:pPr>
              <w:rPr>
                <w:rFonts w:ascii="Times New Roman" w:hAnsi="Times New Roman" w:cs="Times New Roman"/>
              </w:rPr>
            </w:pPr>
            <w:r>
              <w:rPr>
                <w:rFonts w:ascii="Times New Roman" w:hAnsi="Times New Roman" w:cs="Times New Roman"/>
              </w:rPr>
              <w:t>Age of death due to all-</w:t>
            </w:r>
            <w:r w:rsidR="00567F2C">
              <w:rPr>
                <w:rFonts w:ascii="Times New Roman" w:hAnsi="Times New Roman" w:cs="Times New Roman"/>
              </w:rPr>
              <w:t>cause mortality</w:t>
            </w:r>
          </w:p>
        </w:tc>
        <w:tc>
          <w:tcPr>
            <w:tcW w:w="3005" w:type="dxa"/>
          </w:tcPr>
          <w:p w14:paraId="2B443BD4" w14:textId="77777777" w:rsidR="00567F2C" w:rsidRPr="00567F2C" w:rsidRDefault="00567F2C">
            <w:pPr>
              <w:rPr>
                <w:rFonts w:ascii="Times New Roman" w:hAnsi="Times New Roman" w:cs="Times New Roman"/>
              </w:rPr>
            </w:pPr>
            <w:r>
              <w:rPr>
                <w:rFonts w:ascii="Times New Roman" w:hAnsi="Times New Roman" w:cs="Times New Roman"/>
              </w:rPr>
              <w:t>~weibull(8.97,86.74)</w:t>
            </w:r>
          </w:p>
        </w:tc>
        <w:tc>
          <w:tcPr>
            <w:tcW w:w="8287" w:type="dxa"/>
          </w:tcPr>
          <w:p w14:paraId="73B80D7A" w14:textId="77777777" w:rsidR="00567F2C" w:rsidRDefault="00567F2C">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2021</w:t>
            </w:r>
            <w:r>
              <w:rPr>
                <w:rFonts w:ascii="Times New Roman" w:hAnsi="Times New Roman" w:cs="Times New Roman"/>
              </w:rPr>
              <w:t xml:space="preserve"> </w:t>
            </w:r>
            <w:r>
              <w:rPr>
                <w:rFonts w:ascii="Times New Roman" w:hAnsi="Times New Roman" w:cs="Times New Roman"/>
              </w:rPr>
              <w:fldChar w:fldCharType="begin" w:fldLock="1"/>
            </w:r>
            <w:r w:rsidR="00464862">
              <w:rPr>
                <w:rFonts w:ascii="Times New Roman" w:hAnsi="Times New Roman" w:cs="Times New Roman"/>
              </w:rPr>
              <w:instrText>ADDIN CSL_CITATION {"citationItems":[{"id":"ITEM-1","itemData":{"URL":"https://www.ons.gov.uk/peoplepopulationandcommunity/birthsdeathsandmarriages/lifeexpectancies/datasets/nationallifetablesunitedkingdomreferencetables","author":[{"dropping-particle":"","family":"Office for National Statistics","given":"","non-dropping-particle":"","parse-names":false,"suffix":""}],"id":"ITEM-1","issued":{"date-parts":[["2021"]]},"title":"National Life Tables","type":"webpage"},"uris":["http://www.mendeley.com/documents/?uuid=61698d3c-c6bd-484b-8379-3c78c6eb2a40"]}],"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[3]</w:t>
            </w:r>
            <w:r>
              <w:rPr>
                <w:rFonts w:ascii="Times New Roman" w:hAnsi="Times New Roman" w:cs="Times New Roman"/>
              </w:rPr>
              <w:fldChar w:fldCharType="end"/>
            </w:r>
          </w:p>
          <w:p w14:paraId="76E9FCE0" w14:textId="77777777" w:rsidR="00BE6963" w:rsidRDefault="00BE6963">
            <w:pPr>
              <w:rPr>
                <w:rFonts w:ascii="Times New Roman" w:hAnsi="Times New Roman" w:cs="Times New Roman"/>
              </w:rPr>
            </w:pPr>
          </w:p>
          <w:p w14:paraId="09970B73" w14:textId="77777777" w:rsidR="00BE6963" w:rsidRPr="00567F2C" w:rsidRDefault="00BE6963">
            <w:pPr>
              <w:rPr>
                <w:rFonts w:ascii="Times New Roman" w:hAnsi="Times New Roman" w:cs="Times New Roman"/>
              </w:rPr>
            </w:pPr>
            <w:r>
              <w:rPr>
                <w:rFonts w:ascii="Times New Roman" w:hAnsi="Times New Roman" w:cs="Times New Roman"/>
              </w:rPr>
              <w:t>Using the probability of dying at a given age, a small Markov model was created for a hypothetical starting at the age of birth. This Markov model contained the states alive and dead and recorded the number of individuals expected to die at each age. From this, a simulated data set was created containing the age of death for each individual in the cohort. Using the fitdistrplus package in R, a Weibull distribution was fit to this data.</w:t>
            </w:r>
          </w:p>
        </w:tc>
      </w:tr>
      <w:tr w:rsidR="00567F2C" w14:paraId="3E3DBDA2" w14:textId="77777777" w:rsidTr="00710DF8">
        <w:tc>
          <w:tcPr>
            <w:tcW w:w="3005" w:type="dxa"/>
          </w:tcPr>
          <w:p w14:paraId="252FD069" w14:textId="77777777" w:rsidR="00567F2C" w:rsidRPr="00567F2C" w:rsidRDefault="00464862" w:rsidP="00464862">
            <w:pPr>
              <w:rPr>
                <w:rFonts w:ascii="Times New Roman" w:hAnsi="Times New Roman" w:cs="Times New Roman"/>
              </w:rPr>
            </w:pPr>
            <w:r>
              <w:rPr>
                <w:rFonts w:ascii="Times New Roman" w:hAnsi="Times New Roman" w:cs="Times New Roman"/>
              </w:rPr>
              <w:t>Survival for stage 1 breast cancer</w:t>
            </w:r>
          </w:p>
        </w:tc>
        <w:tc>
          <w:tcPr>
            <w:tcW w:w="3005" w:type="dxa"/>
          </w:tcPr>
          <w:p w14:paraId="365B0851" w14:textId="77777777" w:rsidR="00567F2C" w:rsidRPr="00567F2C" w:rsidRDefault="00464862">
            <w:pPr>
              <w:rPr>
                <w:rFonts w:ascii="Times New Roman" w:hAnsi="Times New Roman" w:cs="Times New Roman"/>
              </w:rPr>
            </w:pPr>
            <w:r>
              <w:rPr>
                <w:rFonts w:ascii="Times New Roman" w:hAnsi="Times New Roman" w:cs="Times New Roman"/>
              </w:rPr>
              <w:t>exp(-5.462)</w:t>
            </w:r>
          </w:p>
        </w:tc>
        <w:tc>
          <w:tcPr>
            <w:tcW w:w="8287" w:type="dxa"/>
          </w:tcPr>
          <w:p w14:paraId="5D5AD06F" w14:textId="77777777" w:rsidR="00567F2C" w:rsidRDefault="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7FFB1753" w14:textId="77777777" w:rsidR="00464862" w:rsidRDefault="00464862">
            <w:pPr>
              <w:rPr>
                <w:rFonts w:ascii="Times New Roman" w:hAnsi="Times New Roman" w:cs="Times New Roman"/>
              </w:rPr>
            </w:pPr>
          </w:p>
          <w:p w14:paraId="5EBAC5A9" w14:textId="77777777" w:rsidR="00464862" w:rsidRPr="00567F2C" w:rsidRDefault="00464862">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multiple models selected. As such the same model was applied to data related to cancer stage </w:t>
            </w:r>
          </w:p>
        </w:tc>
      </w:tr>
      <w:tr w:rsidR="00567F2C" w14:paraId="36F15ADF" w14:textId="77777777" w:rsidTr="00710DF8">
        <w:tc>
          <w:tcPr>
            <w:tcW w:w="3005" w:type="dxa"/>
          </w:tcPr>
          <w:p w14:paraId="61A0D680" w14:textId="77777777" w:rsidR="00567F2C" w:rsidRPr="00567F2C" w:rsidRDefault="00464862">
            <w:pPr>
              <w:rPr>
                <w:rFonts w:ascii="Times New Roman" w:hAnsi="Times New Roman" w:cs="Times New Roman"/>
              </w:rPr>
            </w:pPr>
            <w:r>
              <w:rPr>
                <w:rFonts w:ascii="Times New Roman" w:hAnsi="Times New Roman" w:cs="Times New Roman"/>
              </w:rPr>
              <w:lastRenderedPageBreak/>
              <w:t>Survival for stage 2 breast cancer</w:t>
            </w:r>
          </w:p>
        </w:tc>
        <w:tc>
          <w:tcPr>
            <w:tcW w:w="3005" w:type="dxa"/>
          </w:tcPr>
          <w:p w14:paraId="7251E6DB" w14:textId="77777777" w:rsidR="00567F2C" w:rsidRPr="00567F2C" w:rsidRDefault="00464862">
            <w:pPr>
              <w:rPr>
                <w:rFonts w:ascii="Times New Roman" w:hAnsi="Times New Roman" w:cs="Times New Roman"/>
              </w:rPr>
            </w:pPr>
            <w:r>
              <w:rPr>
                <w:rFonts w:ascii="Times New Roman" w:hAnsi="Times New Roman" w:cs="Times New Roman"/>
              </w:rPr>
              <w:t>exp(-4.023)</w:t>
            </w:r>
          </w:p>
        </w:tc>
        <w:tc>
          <w:tcPr>
            <w:tcW w:w="8287" w:type="dxa"/>
          </w:tcPr>
          <w:p w14:paraId="4B125126"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8C006BC" w14:textId="77777777" w:rsidR="00464862" w:rsidRDefault="00464862" w:rsidP="00464862">
            <w:pPr>
              <w:rPr>
                <w:rFonts w:ascii="Times New Roman" w:hAnsi="Times New Roman" w:cs="Times New Roman"/>
              </w:rPr>
            </w:pPr>
          </w:p>
          <w:p w14:paraId="19CF0B4D"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49271E2F" w14:textId="77777777" w:rsidTr="00710DF8">
        <w:tc>
          <w:tcPr>
            <w:tcW w:w="3005" w:type="dxa"/>
          </w:tcPr>
          <w:p w14:paraId="6437E4F1" w14:textId="77777777" w:rsidR="00567F2C" w:rsidRPr="00567F2C" w:rsidRDefault="00464862">
            <w:pPr>
              <w:rPr>
                <w:rFonts w:ascii="Times New Roman" w:hAnsi="Times New Roman" w:cs="Times New Roman"/>
              </w:rPr>
            </w:pPr>
            <w:r>
              <w:rPr>
                <w:rFonts w:ascii="Times New Roman" w:hAnsi="Times New Roman" w:cs="Times New Roman"/>
              </w:rPr>
              <w:t>Survival for stage 3 breast cancer</w:t>
            </w:r>
          </w:p>
        </w:tc>
        <w:tc>
          <w:tcPr>
            <w:tcW w:w="3005" w:type="dxa"/>
          </w:tcPr>
          <w:p w14:paraId="4F56D9C7" w14:textId="77777777" w:rsidR="00567F2C" w:rsidRPr="00567F2C" w:rsidRDefault="00464862">
            <w:pPr>
              <w:rPr>
                <w:rFonts w:ascii="Times New Roman" w:hAnsi="Times New Roman" w:cs="Times New Roman"/>
              </w:rPr>
            </w:pPr>
            <w:r>
              <w:rPr>
                <w:rFonts w:ascii="Times New Roman" w:hAnsi="Times New Roman" w:cs="Times New Roman"/>
              </w:rPr>
              <w:t>exp(-2.465)</w:t>
            </w:r>
          </w:p>
        </w:tc>
        <w:tc>
          <w:tcPr>
            <w:tcW w:w="8287" w:type="dxa"/>
          </w:tcPr>
          <w:p w14:paraId="51ED742B"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D8E7D66" w14:textId="77777777" w:rsidR="00464862" w:rsidRDefault="00464862" w:rsidP="00464862">
            <w:pPr>
              <w:rPr>
                <w:rFonts w:ascii="Times New Roman" w:hAnsi="Times New Roman" w:cs="Times New Roman"/>
              </w:rPr>
            </w:pPr>
          </w:p>
          <w:p w14:paraId="7E6D7B7B"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3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3F2E4758" w14:textId="77777777" w:rsidTr="00710DF8">
        <w:tc>
          <w:tcPr>
            <w:tcW w:w="3005" w:type="dxa"/>
          </w:tcPr>
          <w:p w14:paraId="7CBDDEB1" w14:textId="77777777" w:rsidR="00567F2C" w:rsidRPr="00567F2C" w:rsidRDefault="00E93C39">
            <w:pPr>
              <w:rPr>
                <w:rFonts w:ascii="Times New Roman" w:hAnsi="Times New Roman" w:cs="Times New Roman"/>
              </w:rPr>
            </w:pPr>
            <w:r>
              <w:rPr>
                <w:rFonts w:ascii="Times New Roman" w:hAnsi="Times New Roman" w:cs="Times New Roman"/>
              </w:rPr>
              <w:t>Survival for stage 4 breast cancer for women aged up to 54</w:t>
            </w:r>
          </w:p>
        </w:tc>
        <w:tc>
          <w:tcPr>
            <w:tcW w:w="3005" w:type="dxa"/>
          </w:tcPr>
          <w:p w14:paraId="1B15228A" w14:textId="77777777" w:rsidR="00567F2C" w:rsidRPr="00567F2C" w:rsidRDefault="00E93C39">
            <w:pPr>
              <w:rPr>
                <w:rFonts w:ascii="Times New Roman" w:hAnsi="Times New Roman" w:cs="Times New Roman"/>
              </w:rPr>
            </w:pPr>
            <w:r>
              <w:rPr>
                <w:rFonts w:ascii="Times New Roman" w:hAnsi="Times New Roman" w:cs="Times New Roman"/>
              </w:rPr>
              <w:t>exp(-1.787)</w:t>
            </w:r>
          </w:p>
        </w:tc>
        <w:tc>
          <w:tcPr>
            <w:tcW w:w="8287" w:type="dxa"/>
          </w:tcPr>
          <w:p w14:paraId="14DAD3E3"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29FF7772" w14:textId="77777777" w:rsidR="00E93C39" w:rsidRDefault="00E93C39" w:rsidP="00E93C39">
            <w:pPr>
              <w:rPr>
                <w:rFonts w:ascii="Times New Roman" w:hAnsi="Times New Roman" w:cs="Times New Roman"/>
              </w:rPr>
            </w:pPr>
          </w:p>
          <w:p w14:paraId="48960AEF" w14:textId="77777777" w:rsidR="00567F2C"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5D1BA08" w14:textId="77777777" w:rsidTr="00710DF8">
        <w:tc>
          <w:tcPr>
            <w:tcW w:w="3005" w:type="dxa"/>
          </w:tcPr>
          <w:p w14:paraId="6D73D09C"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55 to 74</w:t>
            </w:r>
          </w:p>
        </w:tc>
        <w:tc>
          <w:tcPr>
            <w:tcW w:w="3005" w:type="dxa"/>
          </w:tcPr>
          <w:p w14:paraId="0F16E21E" w14:textId="77777777" w:rsidR="00E93C39" w:rsidRPr="00567F2C" w:rsidRDefault="00E93C39">
            <w:pPr>
              <w:rPr>
                <w:rFonts w:ascii="Times New Roman" w:hAnsi="Times New Roman" w:cs="Times New Roman"/>
              </w:rPr>
            </w:pPr>
            <w:r>
              <w:rPr>
                <w:rFonts w:ascii="Times New Roman" w:hAnsi="Times New Roman" w:cs="Times New Roman"/>
              </w:rPr>
              <w:t>exp(-1.388)</w:t>
            </w:r>
          </w:p>
        </w:tc>
        <w:tc>
          <w:tcPr>
            <w:tcW w:w="8287" w:type="dxa"/>
          </w:tcPr>
          <w:p w14:paraId="7BED4CAC"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59A35007" w14:textId="77777777" w:rsidR="00E93C39" w:rsidRDefault="00E93C39" w:rsidP="00E93C39">
            <w:pPr>
              <w:rPr>
                <w:rFonts w:ascii="Times New Roman" w:hAnsi="Times New Roman" w:cs="Times New Roman"/>
              </w:rPr>
            </w:pPr>
          </w:p>
          <w:p w14:paraId="69420BF6"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C042B4D" w14:textId="77777777" w:rsidTr="00710DF8">
        <w:tc>
          <w:tcPr>
            <w:tcW w:w="3005" w:type="dxa"/>
          </w:tcPr>
          <w:p w14:paraId="79DA7A54"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over 75</w:t>
            </w:r>
          </w:p>
        </w:tc>
        <w:tc>
          <w:tcPr>
            <w:tcW w:w="3005" w:type="dxa"/>
          </w:tcPr>
          <w:p w14:paraId="4D93D5E9" w14:textId="77777777" w:rsidR="00E93C39" w:rsidRPr="00567F2C" w:rsidRDefault="00E93C39">
            <w:pPr>
              <w:rPr>
                <w:rFonts w:ascii="Times New Roman" w:hAnsi="Times New Roman" w:cs="Times New Roman"/>
              </w:rPr>
            </w:pPr>
            <w:r>
              <w:rPr>
                <w:rFonts w:ascii="Times New Roman" w:hAnsi="Times New Roman" w:cs="Times New Roman"/>
              </w:rPr>
              <w:t>exp(-1.011)</w:t>
            </w:r>
          </w:p>
        </w:tc>
        <w:tc>
          <w:tcPr>
            <w:tcW w:w="8287" w:type="dxa"/>
          </w:tcPr>
          <w:p w14:paraId="3B822CFA"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0C044ACA" w14:textId="77777777" w:rsidR="00E93C39" w:rsidRDefault="00E93C39" w:rsidP="00E93C39">
            <w:pPr>
              <w:rPr>
                <w:rFonts w:ascii="Times New Roman" w:hAnsi="Times New Roman" w:cs="Times New Roman"/>
              </w:rPr>
            </w:pPr>
          </w:p>
          <w:p w14:paraId="1BB5E44D" w14:textId="77777777" w:rsidR="00E93C39" w:rsidRPr="00567F2C" w:rsidRDefault="00E93C39" w:rsidP="00E93C39">
            <w:pPr>
              <w:rPr>
                <w:rFonts w:ascii="Times New Roman" w:hAnsi="Times New Roman" w:cs="Times New Roman"/>
              </w:rPr>
            </w:pPr>
            <w:r>
              <w:rPr>
                <w:rFonts w:ascii="Times New Roman" w:hAnsi="Times New Roman" w:cs="Times New Roman"/>
              </w:rPr>
              <w:t xml:space="preserve">Exponential survival curve fitted for median survival for women aged over 75 with stage 4 cancer at 5 years post-diagnosis. A previous version of this model had used Nottingham Prognostic Indicator grade rather than stage but found an exponential curve to be the best </w:t>
            </w:r>
            <w:r>
              <w:rPr>
                <w:rFonts w:ascii="Times New Roman" w:hAnsi="Times New Roman" w:cs="Times New Roman"/>
              </w:rPr>
              <w:lastRenderedPageBreak/>
              <w:t>fit of multiple models selected. As such the same model was applied to data related to cancer stage</w:t>
            </w:r>
          </w:p>
        </w:tc>
      </w:tr>
      <w:tr w:rsidR="00B54F68" w14:paraId="514E10E3" w14:textId="77777777" w:rsidTr="00710DF8">
        <w:tc>
          <w:tcPr>
            <w:tcW w:w="3005" w:type="dxa"/>
          </w:tcPr>
          <w:p w14:paraId="36FDEDD5" w14:textId="77777777" w:rsidR="00B54F68" w:rsidRDefault="00B54F68" w:rsidP="00E93C39">
            <w:pPr>
              <w:rPr>
                <w:rFonts w:ascii="Times New Roman" w:hAnsi="Times New Roman" w:cs="Times New Roman"/>
              </w:rPr>
            </w:pPr>
            <w:r>
              <w:rPr>
                <w:rFonts w:ascii="Times New Roman" w:hAnsi="Times New Roman" w:cs="Times New Roman"/>
              </w:rPr>
              <w:lastRenderedPageBreak/>
              <w:t>Breast cancer incidence by age</w:t>
            </w:r>
          </w:p>
        </w:tc>
        <w:tc>
          <w:tcPr>
            <w:tcW w:w="3005" w:type="dxa"/>
          </w:tcPr>
          <w:p w14:paraId="4699DB72" w14:textId="77777777" w:rsidR="00B54F68" w:rsidRDefault="00B54F68">
            <w:pPr>
              <w:rPr>
                <w:rFonts w:ascii="Times New Roman" w:hAnsi="Times New Roman" w:cs="Times New Roman"/>
              </w:rPr>
            </w:pPr>
            <w:r>
              <w:rPr>
                <w:rFonts w:ascii="Times New Roman" w:hAnsi="Times New Roman" w:cs="Times New Roman"/>
              </w:rPr>
              <w:t>See “Incidence_mortality_ONS2” input csv</w:t>
            </w:r>
          </w:p>
        </w:tc>
        <w:tc>
          <w:tcPr>
            <w:tcW w:w="8287" w:type="dxa"/>
          </w:tcPr>
          <w:p w14:paraId="178480CE" w14:textId="77777777" w:rsidR="00B54F68" w:rsidRDefault="00B54F68" w:rsidP="00E93C39">
            <w:pPr>
              <w:rPr>
                <w:rFonts w:ascii="Times New Roman" w:hAnsi="Times New Roman" w:cs="Times New Roman"/>
              </w:rPr>
            </w:pPr>
            <w:r>
              <w:rPr>
                <w:rFonts w:ascii="Times New Roman" w:hAnsi="Times New Roman" w:cs="Times New Roman"/>
              </w:rPr>
              <w:t>Cancer Research UK</w:t>
            </w:r>
            <w:r w:rsidR="00F146F6">
              <w:rPr>
                <w:rFonts w:ascii="Times New Roman" w:hAnsi="Times New Roman" w:cs="Times New Roman"/>
              </w:rPr>
              <w:t xml:space="preserve"> 2022</w:t>
            </w:r>
            <w:r>
              <w:rPr>
                <w:rFonts w:ascii="Times New Roman" w:hAnsi="Times New Roman" w:cs="Times New Roman"/>
              </w:rPr>
              <w:t xml:space="preserve"> </w:t>
            </w:r>
            <w:r>
              <w:rPr>
                <w:rFonts w:ascii="Times New Roman" w:hAnsi="Times New Roman" w:cs="Times New Roman"/>
              </w:rPr>
              <w:fldChar w:fldCharType="begin" w:fldLock="1"/>
            </w:r>
            <w:r w:rsidR="00F146F6">
              <w:rPr>
                <w:rFonts w:ascii="Times New Roman" w:hAnsi="Times New Roman" w:cs="Times New Roman"/>
              </w:rPr>
              <w:instrText>ADDIN CSL_CITATION {"citationItems":[{"id":"ITEM-1","itemData":{"URL":"https://www.cancerresearchuk.org/health-professional/cancer-statistics/statistics-by-cancer-type/breast-cancer/incidence-invasive#heading-One","accessed":{"date-parts":[["2022","4","14"]]},"author":[{"dropping-particle":"","family":"Cancer Research UK","given":"","non-dropping-particle":"","parse-names":false,"suffix":""}],"id":"ITEM-1","issued":{"date-parts":[["2022"]]},"title":"Breast cancer incidence (invasive) statistics","type":"webpage"},"uris":["http://www.mendeley.com/documents/?uuid=fe447bfb-4153-3039-80b6-cb758b693e7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B54F68">
              <w:rPr>
                <w:rFonts w:ascii="Times New Roman" w:hAnsi="Times New Roman" w:cs="Times New Roman"/>
                <w:noProof/>
              </w:rPr>
              <w:t>[5]</w:t>
            </w:r>
            <w:r>
              <w:rPr>
                <w:rFonts w:ascii="Times New Roman" w:hAnsi="Times New Roman" w:cs="Times New Roman"/>
              </w:rPr>
              <w:fldChar w:fldCharType="end"/>
            </w:r>
          </w:p>
        </w:tc>
      </w:tr>
      <w:tr w:rsidR="00C359F5" w14:paraId="5E7F75FF" w14:textId="77777777" w:rsidTr="00710DF8">
        <w:tc>
          <w:tcPr>
            <w:tcW w:w="3005" w:type="dxa"/>
          </w:tcPr>
          <w:p w14:paraId="3AEABB31" w14:textId="77777777" w:rsidR="00C359F5" w:rsidRDefault="00C359F5" w:rsidP="00E93C39">
            <w:pPr>
              <w:rPr>
                <w:rFonts w:ascii="Times New Roman" w:hAnsi="Times New Roman" w:cs="Times New Roman"/>
              </w:rPr>
            </w:pPr>
            <w:r>
              <w:rPr>
                <w:rFonts w:ascii="Times New Roman" w:hAnsi="Times New Roman" w:cs="Times New Roman"/>
              </w:rPr>
              <w:t>10 year risk of breast cancer estimated using the Tyrer-Cuzick version 8 and Volpara breast density group</w:t>
            </w:r>
          </w:p>
        </w:tc>
        <w:tc>
          <w:tcPr>
            <w:tcW w:w="3005" w:type="dxa"/>
          </w:tcPr>
          <w:p w14:paraId="5A1C21C3"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4482350" w14:textId="77777777" w:rsidR="00C359F5" w:rsidRDefault="00B12608" w:rsidP="00B12608">
            <w:pPr>
              <w:rPr>
                <w:rFonts w:ascii="Times New Roman" w:hAnsi="Times New Roman" w:cs="Times New Roman"/>
              </w:rPr>
            </w:pPr>
            <w:r>
              <w:rPr>
                <w:rFonts w:ascii="Times New Roman" w:hAnsi="Times New Roman" w:cs="Times New Roman"/>
              </w:rPr>
              <w:t>Observations of breast density (using Volpara TruDensity), 10 year breast cancer risk (using Tyrer-Cuzick version 8 and Volpara TruDensity), and lifetime risk (using Tyrer-Cuzick version 8 and Volpara TruDensity)</w:t>
            </w:r>
            <w:r w:rsidR="0065013A">
              <w:rPr>
                <w:rFonts w:ascii="Times New Roman" w:hAnsi="Times New Roman" w:cs="Times New Roman"/>
              </w:rPr>
              <w:t xml:space="preserve"> for 15,613 women</w:t>
            </w:r>
            <w:r>
              <w:rPr>
                <w:rFonts w:ascii="Times New Roman" w:hAnsi="Times New Roman" w:cs="Times New Roman"/>
              </w:rPr>
              <w:t xml:space="preserve"> were shared securely by the BC-PREDICT research team. </w:t>
            </w:r>
            <w:r w:rsidR="0065013A">
              <w:rPr>
                <w:rFonts w:ascii="Times New Roman" w:hAnsi="Times New Roman" w:cs="Times New Roman"/>
              </w:rPr>
              <w:t>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E82BA94" w14:textId="77777777" w:rsidTr="00710DF8">
        <w:tc>
          <w:tcPr>
            <w:tcW w:w="3005" w:type="dxa"/>
          </w:tcPr>
          <w:p w14:paraId="5ADEB1D8" w14:textId="77777777" w:rsidR="00C359F5" w:rsidRDefault="00C359F5" w:rsidP="00E93C39">
            <w:pPr>
              <w:rPr>
                <w:rFonts w:ascii="Times New Roman" w:hAnsi="Times New Roman" w:cs="Times New Roman"/>
              </w:rPr>
            </w:pPr>
            <w:r>
              <w:rPr>
                <w:rFonts w:ascii="Times New Roman" w:hAnsi="Times New Roman" w:cs="Times New Roman"/>
              </w:rPr>
              <w:t>Lifetime</w:t>
            </w:r>
            <w:r w:rsidRPr="00C359F5">
              <w:rPr>
                <w:rFonts w:ascii="Times New Roman" w:hAnsi="Times New Roman" w:cs="Times New Roman"/>
              </w:rPr>
              <w:t xml:space="preserve"> risk of breast cancer estimated using the Tyrer-Cuzick version 8 and Volpara breast density group</w:t>
            </w:r>
          </w:p>
        </w:tc>
        <w:tc>
          <w:tcPr>
            <w:tcW w:w="3005" w:type="dxa"/>
          </w:tcPr>
          <w:p w14:paraId="2C598F20"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2D4886F" w14:textId="77777777" w:rsidR="00C359F5" w:rsidRDefault="0065013A" w:rsidP="00E93C39">
            <w:pPr>
              <w:rPr>
                <w:rFonts w:ascii="Times New Roman" w:hAnsi="Times New Roman" w:cs="Times New Roman"/>
              </w:rPr>
            </w:pPr>
            <w:r>
              <w:rPr>
                <w:rFonts w:ascii="Times New Roman" w:hAnsi="Times New Roman" w:cs="Times New Roman"/>
              </w:rPr>
              <w:t>Observations of breast density (using Volpara TruDensity), 10 year breast cancer risk (using Tyrer-Cuzick version 8 and Volpara TruDensity), and lifetime risk (using Tyrer-Cuzick version 8 and Volpara TruDensity) for 15,613 women were shared securely by the BC-PREDICT research team. 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CFB8DA1" w14:textId="77777777" w:rsidTr="00710DF8">
        <w:tc>
          <w:tcPr>
            <w:tcW w:w="3005" w:type="dxa"/>
          </w:tcPr>
          <w:p w14:paraId="683C98B5" w14:textId="77777777" w:rsidR="00C359F5" w:rsidRDefault="00C359F5" w:rsidP="00E93C39">
            <w:pPr>
              <w:rPr>
                <w:rFonts w:ascii="Times New Roman" w:hAnsi="Times New Roman" w:cs="Times New Roman"/>
              </w:rPr>
            </w:pPr>
            <w:r>
              <w:rPr>
                <w:rFonts w:ascii="Times New Roman" w:hAnsi="Times New Roman" w:cs="Times New Roman"/>
              </w:rPr>
              <w:t>Volpara breast density estimate</w:t>
            </w:r>
          </w:p>
        </w:tc>
        <w:tc>
          <w:tcPr>
            <w:tcW w:w="3005" w:type="dxa"/>
          </w:tcPr>
          <w:p w14:paraId="77BB3988"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649B182E" w14:textId="77777777" w:rsidR="00C359F5" w:rsidRDefault="0065013A" w:rsidP="00E93C39">
            <w:pPr>
              <w:rPr>
                <w:rFonts w:ascii="Times New Roman" w:hAnsi="Times New Roman" w:cs="Times New Roman"/>
              </w:rPr>
            </w:pPr>
            <w:r>
              <w:rPr>
                <w:rFonts w:ascii="Times New Roman" w:hAnsi="Times New Roman" w:cs="Times New Roman"/>
              </w:rPr>
              <w:t>Observations of breast density (using Volpara TruDensity), 10 year breast cancer risk (using Tyrer-Cuzick version 8 and Volpara TruDensity), and lifetime risk (using Tyrer-Cuzick version 8 and Volpara TruDensity) for 15,613 women were shared securely by the BC-PREDICT research team. 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65013A" w14:paraId="3FA33117" w14:textId="77777777" w:rsidTr="00710DF8">
        <w:tc>
          <w:tcPr>
            <w:tcW w:w="3005" w:type="dxa"/>
          </w:tcPr>
          <w:p w14:paraId="49752910" w14:textId="77777777" w:rsidR="0065013A" w:rsidRDefault="0065013A"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3005" w:type="dxa"/>
          </w:tcPr>
          <w:p w14:paraId="2EB520E8" w14:textId="77777777" w:rsidR="0065013A" w:rsidRDefault="0065013A">
            <w:pPr>
              <w:rPr>
                <w:rFonts w:ascii="Times New Roman" w:hAnsi="Times New Roman" w:cs="Times New Roman"/>
              </w:rPr>
            </w:pPr>
            <w:r>
              <w:rPr>
                <w:rFonts w:ascii="Times New Roman" w:hAnsi="Times New Roman" w:cs="Times New Roman"/>
              </w:rPr>
              <w:t>25=4.62%</w:t>
            </w:r>
          </w:p>
          <w:p w14:paraId="75BC32CE" w14:textId="77777777" w:rsidR="0065013A" w:rsidRDefault="0065013A">
            <w:pPr>
              <w:rPr>
                <w:rFonts w:ascii="Times New Roman" w:hAnsi="Times New Roman" w:cs="Times New Roman"/>
              </w:rPr>
            </w:pPr>
            <w:r>
              <w:rPr>
                <w:rFonts w:ascii="Times New Roman" w:hAnsi="Times New Roman" w:cs="Times New Roman"/>
              </w:rPr>
              <w:t>35=8.67%</w:t>
            </w:r>
          </w:p>
          <w:p w14:paraId="4FF5F076" w14:textId="77777777" w:rsidR="0065013A" w:rsidRDefault="0065013A">
            <w:pPr>
              <w:rPr>
                <w:rFonts w:ascii="Times New Roman" w:hAnsi="Times New Roman" w:cs="Times New Roman"/>
              </w:rPr>
            </w:pPr>
            <w:r>
              <w:rPr>
                <w:rFonts w:ascii="Times New Roman" w:hAnsi="Times New Roman" w:cs="Times New Roman"/>
              </w:rPr>
              <w:t>45=10.98%</w:t>
            </w:r>
          </w:p>
          <w:p w14:paraId="2916C0CD" w14:textId="77777777" w:rsidR="0065013A" w:rsidRDefault="0065013A">
            <w:pPr>
              <w:rPr>
                <w:rFonts w:ascii="Times New Roman" w:hAnsi="Times New Roman" w:cs="Times New Roman"/>
              </w:rPr>
            </w:pPr>
            <w:r>
              <w:rPr>
                <w:rFonts w:ascii="Times New Roman" w:hAnsi="Times New Roman" w:cs="Times New Roman"/>
              </w:rPr>
              <w:t>55=12.71%</w:t>
            </w:r>
          </w:p>
          <w:p w14:paraId="68EF3B75" w14:textId="77777777" w:rsidR="0065013A" w:rsidRDefault="0065013A">
            <w:pPr>
              <w:rPr>
                <w:rFonts w:ascii="Times New Roman" w:hAnsi="Times New Roman" w:cs="Times New Roman"/>
              </w:rPr>
            </w:pPr>
            <w:r>
              <w:rPr>
                <w:rFonts w:ascii="Times New Roman" w:hAnsi="Times New Roman" w:cs="Times New Roman"/>
              </w:rPr>
              <w:t>65=14.25%</w:t>
            </w:r>
          </w:p>
          <w:p w14:paraId="3CC8E02E" w14:textId="77777777" w:rsidR="0065013A" w:rsidRDefault="0065013A">
            <w:pPr>
              <w:rPr>
                <w:rFonts w:ascii="Times New Roman" w:hAnsi="Times New Roman" w:cs="Times New Roman"/>
              </w:rPr>
            </w:pPr>
            <w:r>
              <w:rPr>
                <w:rFonts w:ascii="Times New Roman" w:hAnsi="Times New Roman" w:cs="Times New Roman"/>
              </w:rPr>
              <w:t>75=15.98%</w:t>
            </w:r>
          </w:p>
          <w:p w14:paraId="014D150A" w14:textId="77777777" w:rsidR="0065013A" w:rsidRDefault="0065013A">
            <w:pPr>
              <w:rPr>
                <w:rFonts w:ascii="Times New Roman" w:hAnsi="Times New Roman" w:cs="Times New Roman"/>
              </w:rPr>
            </w:pPr>
            <w:r>
              <w:rPr>
                <w:rFonts w:ascii="Times New Roman" w:hAnsi="Times New Roman" w:cs="Times New Roman"/>
              </w:rPr>
              <w:lastRenderedPageBreak/>
              <w:t>85=17.</w:t>
            </w:r>
            <w:commentRangeStart w:id="1"/>
            <w:r>
              <w:rPr>
                <w:rFonts w:ascii="Times New Roman" w:hAnsi="Times New Roman" w:cs="Times New Roman"/>
              </w:rPr>
              <w:t>30</w:t>
            </w:r>
            <w:commentRangeEnd w:id="1"/>
            <w:r w:rsidR="00F146F6">
              <w:rPr>
                <w:rStyle w:val="CommentReference"/>
              </w:rPr>
              <w:commentReference w:id="1"/>
            </w:r>
            <w:r>
              <w:rPr>
                <w:rFonts w:ascii="Times New Roman" w:hAnsi="Times New Roman" w:cs="Times New Roman"/>
              </w:rPr>
              <w:t>%</w:t>
            </w:r>
          </w:p>
        </w:tc>
        <w:tc>
          <w:tcPr>
            <w:tcW w:w="8287" w:type="dxa"/>
          </w:tcPr>
          <w:p w14:paraId="052CC953" w14:textId="77777777" w:rsidR="0065013A" w:rsidRDefault="0065013A" w:rsidP="00E93C39">
            <w:pPr>
              <w:rPr>
                <w:rFonts w:ascii="Times New Roman" w:hAnsi="Times New Roman" w:cs="Times New Roman"/>
              </w:rPr>
            </w:pPr>
          </w:p>
          <w:p w14:paraId="22341A78" w14:textId="77777777" w:rsidR="00F146F6" w:rsidRDefault="00F146F6" w:rsidP="00E93C39">
            <w:pPr>
              <w:rPr>
                <w:rFonts w:ascii="Times New Roman" w:hAnsi="Times New Roman" w:cs="Times New Roman"/>
              </w:rPr>
            </w:pPr>
          </w:p>
          <w:p w14:paraId="43E83E19" w14:textId="77777777" w:rsidR="00F146F6" w:rsidRDefault="00F146F6"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F146F6" w14:paraId="2F2A3C1F" w14:textId="77777777" w:rsidTr="00710DF8">
        <w:tc>
          <w:tcPr>
            <w:tcW w:w="3005" w:type="dxa"/>
          </w:tcPr>
          <w:p w14:paraId="729F2601" w14:textId="77777777" w:rsidR="00F146F6" w:rsidRDefault="00F146F6" w:rsidP="00E93C39">
            <w:pPr>
              <w:rPr>
                <w:rFonts w:ascii="Times New Roman" w:hAnsi="Times New Roman" w:cs="Times New Roman"/>
              </w:rPr>
            </w:pPr>
            <w:r>
              <w:rPr>
                <w:rFonts w:ascii="Times New Roman" w:hAnsi="Times New Roman" w:cs="Times New Roman"/>
              </w:rPr>
              <w:t>Fraction of cancers that are ductal carcinoma in situ</w:t>
            </w:r>
          </w:p>
        </w:tc>
        <w:tc>
          <w:tcPr>
            <w:tcW w:w="3005" w:type="dxa"/>
          </w:tcPr>
          <w:p w14:paraId="5E81EEB8" w14:textId="77777777" w:rsidR="00F146F6" w:rsidRDefault="00F146F6">
            <w:pPr>
              <w:rPr>
                <w:rFonts w:ascii="Times New Roman" w:hAnsi="Times New Roman" w:cs="Times New Roman"/>
              </w:rPr>
            </w:pPr>
            <w:r>
              <w:rPr>
                <w:rFonts w:ascii="Times New Roman" w:hAnsi="Times New Roman" w:cs="Times New Roman"/>
              </w:rPr>
              <w:t>21.1%</w:t>
            </w:r>
          </w:p>
        </w:tc>
        <w:tc>
          <w:tcPr>
            <w:tcW w:w="8287" w:type="dxa"/>
          </w:tcPr>
          <w:p w14:paraId="39AFFA83" w14:textId="77777777" w:rsidR="00F146F6" w:rsidRDefault="00F146F6"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F146F6">
              <w:rPr>
                <w:rFonts w:ascii="Times New Roman" w:hAnsi="Times New Roman" w:cs="Times New Roman"/>
                <w:noProof/>
              </w:rPr>
              <w:t>[1]</w:t>
            </w:r>
            <w:r>
              <w:rPr>
                <w:rFonts w:ascii="Times New Roman" w:hAnsi="Times New Roman" w:cs="Times New Roman"/>
              </w:rPr>
              <w:fldChar w:fldCharType="end"/>
            </w:r>
          </w:p>
        </w:tc>
      </w:tr>
      <w:tr w:rsidR="00F146F6" w14:paraId="2FD6A026" w14:textId="77777777" w:rsidTr="00710DF8">
        <w:tc>
          <w:tcPr>
            <w:tcW w:w="3005" w:type="dxa"/>
          </w:tcPr>
          <w:p w14:paraId="02514483" w14:textId="77777777" w:rsidR="00F146F6" w:rsidRDefault="00F146F6" w:rsidP="00F146F6">
            <w:pPr>
              <w:rPr>
                <w:rFonts w:ascii="Times New Roman" w:hAnsi="Times New Roman" w:cs="Times New Roman"/>
              </w:rPr>
            </w:pPr>
            <w:r>
              <w:rPr>
                <w:rFonts w:ascii="Times New Roman" w:hAnsi="Times New Roman" w:cs="Times New Roman"/>
              </w:rPr>
              <w:t>Probability of cancer being diagnosed as stage I, II, or III given size of tumour</w:t>
            </w:r>
          </w:p>
        </w:tc>
        <w:tc>
          <w:tcPr>
            <w:tcW w:w="3005" w:type="dxa"/>
          </w:tcPr>
          <w:p w14:paraId="02BE0180" w14:textId="77777777" w:rsidR="00F146F6" w:rsidRDefault="00F146F6">
            <w:pPr>
              <w:rPr>
                <w:rFonts w:ascii="Times New Roman" w:hAnsi="Times New Roman" w:cs="Times New Roman"/>
              </w:rPr>
            </w:pPr>
            <w:commentRangeStart w:id="2"/>
            <w:r>
              <w:rPr>
                <w:rFonts w:ascii="Times New Roman" w:hAnsi="Times New Roman" w:cs="Times New Roman"/>
              </w:rPr>
              <w:t>See supplementary appendix X</w:t>
            </w:r>
            <w:commentRangeEnd w:id="2"/>
            <w:r>
              <w:rPr>
                <w:rStyle w:val="CommentReference"/>
              </w:rPr>
              <w:commentReference w:id="2"/>
            </w:r>
          </w:p>
        </w:tc>
        <w:tc>
          <w:tcPr>
            <w:tcW w:w="8287" w:type="dxa"/>
          </w:tcPr>
          <w:p w14:paraId="4E4C4FE9" w14:textId="6C05800F" w:rsidR="00F146F6" w:rsidRDefault="00506DBF" w:rsidP="00E93C39">
            <w:pPr>
              <w:rPr>
                <w:rFonts w:ascii="Times New Roman" w:hAnsi="Times New Roman" w:cs="Times New Roman"/>
              </w:rPr>
            </w:pPr>
            <w:r>
              <w:rPr>
                <w:rFonts w:ascii="Times New Roman" w:hAnsi="Times New Roman" w:cs="Times New Roman"/>
              </w:rPr>
              <w:t xml:space="preserve">Kollias et al. (1998), Wen et al. (2015) </w:t>
            </w:r>
            <w:r w:rsidR="00F146F6">
              <w:rPr>
                <w:rFonts w:ascii="Times New Roman" w:hAnsi="Times New Roman" w:cs="Times New Roman"/>
              </w:rPr>
              <w:fldChar w:fldCharType="begin" w:fldLock="1"/>
            </w:r>
            <w:r w:rsidR="004B7C43">
              <w:rPr>
                <w:rFonts w:ascii="Times New Roman" w:hAnsi="Times New Roman" w:cs="Times New Roman"/>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mendeley":{"formattedCitation":"[6,7]","plainTextFormattedCitation":"[6,7]","previouslyFormattedCitation":"[6,7]"},"properties":{"noteIndex":0},"schema":"https://github.com/citation-style-language/schema/raw/master/csl-citation.json"}</w:instrText>
            </w:r>
            <w:r w:rsidR="00F146F6">
              <w:rPr>
                <w:rFonts w:ascii="Times New Roman" w:hAnsi="Times New Roman" w:cs="Times New Roman"/>
              </w:rPr>
              <w:fldChar w:fldCharType="separate"/>
            </w:r>
            <w:r w:rsidRPr="00506DBF">
              <w:rPr>
                <w:rFonts w:ascii="Times New Roman" w:hAnsi="Times New Roman" w:cs="Times New Roman"/>
                <w:noProof/>
              </w:rPr>
              <w:t>[6,7]</w:t>
            </w:r>
            <w:r w:rsidR="00F146F6">
              <w:rPr>
                <w:rFonts w:ascii="Times New Roman" w:hAnsi="Times New Roman" w:cs="Times New Roman"/>
              </w:rPr>
              <w:fldChar w:fldCharType="end"/>
            </w:r>
          </w:p>
          <w:p w14:paraId="60A28843" w14:textId="77777777" w:rsidR="00506DBF" w:rsidRDefault="00506DBF" w:rsidP="00E93C39">
            <w:pPr>
              <w:rPr>
                <w:rFonts w:ascii="Times New Roman" w:hAnsi="Times New Roman" w:cs="Times New Roman"/>
              </w:rPr>
            </w:pPr>
          </w:p>
          <w:p w14:paraId="565256BE" w14:textId="77777777" w:rsidR="00506DBF" w:rsidRDefault="00506DBF" w:rsidP="00E93C39">
            <w:pPr>
              <w:rPr>
                <w:rFonts w:ascii="Times New Roman" w:hAnsi="Times New Roman" w:cs="Times New Roman"/>
              </w:rPr>
            </w:pPr>
            <w:r>
              <w:rPr>
                <w:rFonts w:ascii="Times New Roman" w:hAnsi="Times New Roman" w:cs="Times New Roman"/>
              </w:rPr>
              <w:t>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different stages. However, the data set contained few observation for women with very small tumours. As such, data from Kollias et al. was combined with that included in Wen et al. to provide a better representation of the distribution of stages in very small cancers. As Kollias et al. only included whether lymph nodes were involved or not and did not state the number of nodes, it was assumed that half of patients with node involvement had one node and half had more than one node. The distributions of stages across cancer size was compared between the studies and aside from the smallest cancers the studies showed close agreement.</w:t>
            </w:r>
          </w:p>
        </w:tc>
      </w:tr>
      <w:tr w:rsidR="004B7C43" w14:paraId="399570B1" w14:textId="77777777" w:rsidTr="00710DF8">
        <w:tc>
          <w:tcPr>
            <w:tcW w:w="3005" w:type="dxa"/>
          </w:tcPr>
          <w:p w14:paraId="35F9C43D" w14:textId="1083D138" w:rsidR="004B7C43" w:rsidRDefault="004B7C43" w:rsidP="004B7C43">
            <w:pPr>
              <w:rPr>
                <w:rFonts w:ascii="Times New Roman" w:hAnsi="Times New Roman" w:cs="Times New Roman"/>
              </w:rPr>
            </w:pPr>
            <w:r>
              <w:rPr>
                <w:rFonts w:ascii="Times New Roman" w:hAnsi="Times New Roman" w:cs="Times New Roman"/>
              </w:rPr>
              <w:t>Mammographic sensitivity by Volpara Density Group (VDG)</w:t>
            </w:r>
          </w:p>
        </w:tc>
        <w:tc>
          <w:tcPr>
            <w:tcW w:w="3005" w:type="dxa"/>
          </w:tcPr>
          <w:p w14:paraId="2F3F754D" w14:textId="15DF9420" w:rsidR="004B7C43" w:rsidRDefault="004B7C43">
            <w:pPr>
              <w:rPr>
                <w:rFonts w:ascii="Times New Roman" w:hAnsi="Times New Roman" w:cs="Times New Roman"/>
              </w:rPr>
            </w:pPr>
            <w:r>
              <w:rPr>
                <w:rFonts w:ascii="Times New Roman" w:hAnsi="Times New Roman" w:cs="Times New Roman"/>
              </w:rPr>
              <w:t>VDG1=85.0%</w:t>
            </w:r>
          </w:p>
          <w:p w14:paraId="3685783F" w14:textId="01582920" w:rsidR="004B7C43" w:rsidRDefault="004B7C43">
            <w:pPr>
              <w:rPr>
                <w:rFonts w:ascii="Times New Roman" w:hAnsi="Times New Roman" w:cs="Times New Roman"/>
              </w:rPr>
            </w:pPr>
            <w:r>
              <w:rPr>
                <w:rFonts w:ascii="Times New Roman" w:hAnsi="Times New Roman" w:cs="Times New Roman"/>
              </w:rPr>
              <w:t>VDG2=77.6%</w:t>
            </w:r>
          </w:p>
          <w:p w14:paraId="0310313B" w14:textId="27F7A9A4" w:rsidR="004B7C43" w:rsidRDefault="004B7C43">
            <w:pPr>
              <w:rPr>
                <w:rFonts w:ascii="Times New Roman" w:hAnsi="Times New Roman" w:cs="Times New Roman"/>
              </w:rPr>
            </w:pPr>
            <w:r>
              <w:rPr>
                <w:rFonts w:ascii="Times New Roman" w:hAnsi="Times New Roman" w:cs="Times New Roman"/>
              </w:rPr>
              <w:t>VDG3=69.5%</w:t>
            </w:r>
          </w:p>
          <w:p w14:paraId="10EDB47B" w14:textId="6E672E45" w:rsidR="004B7C43" w:rsidRDefault="004B7C43">
            <w:pPr>
              <w:rPr>
                <w:rFonts w:ascii="Times New Roman" w:hAnsi="Times New Roman" w:cs="Times New Roman"/>
              </w:rPr>
            </w:pPr>
            <w:r>
              <w:rPr>
                <w:rFonts w:ascii="Times New Roman" w:hAnsi="Times New Roman" w:cs="Times New Roman"/>
              </w:rPr>
              <w:t>VDG4=61.0%</w:t>
            </w:r>
          </w:p>
          <w:p w14:paraId="49EA1C32" w14:textId="42FDB7CE" w:rsidR="004B7C43" w:rsidRDefault="004B7C43">
            <w:pPr>
              <w:rPr>
                <w:rFonts w:ascii="Times New Roman" w:hAnsi="Times New Roman" w:cs="Times New Roman"/>
              </w:rPr>
            </w:pPr>
            <w:r>
              <w:rPr>
                <w:rFonts w:ascii="Times New Roman" w:hAnsi="Times New Roman" w:cs="Times New Roman"/>
              </w:rPr>
              <w:t>Average=75.7%</w:t>
            </w:r>
          </w:p>
        </w:tc>
        <w:tc>
          <w:tcPr>
            <w:tcW w:w="8287" w:type="dxa"/>
          </w:tcPr>
          <w:p w14:paraId="3548814F" w14:textId="0141F73C" w:rsidR="004B7C43" w:rsidRDefault="004B7C43" w:rsidP="00E93C39">
            <w:pPr>
              <w:rPr>
                <w:rFonts w:ascii="Times New Roman" w:hAnsi="Times New Roman" w:cs="Times New Roman"/>
              </w:rPr>
            </w:pPr>
            <w:r>
              <w:rPr>
                <w:rFonts w:ascii="Times New Roman" w:hAnsi="Times New Roman" w:cs="Times New Roman"/>
              </w:rPr>
              <w:t xml:space="preserve">Wanders et al. (2017) </w:t>
            </w:r>
            <w:r>
              <w:rPr>
                <w:rFonts w:ascii="Times New Roman" w:hAnsi="Times New Roman" w:cs="Times New Roman"/>
              </w:rPr>
              <w:fldChar w:fldCharType="begin" w:fldLock="1"/>
            </w:r>
            <w:r w:rsidR="00821056">
              <w:rPr>
                <w:rFonts w:ascii="Times New Roman" w:hAnsi="Times New Roman" w:cs="Times New Roman"/>
              </w:rPr>
              <w:instrText>ADDIN CSL_CITATION {"citationItems":[{"id":"ITEM-1","itemData":{"DOI":"10.1007/S10549-016-4090-7/TABLES/4","ISSN":"15737217","PMID":"28012087","abstract":"Purpose: To determine to what extent automatically measured volumetric mammographic density influences screening performance when using digital mammography (DM). Methods: We collected a consecutive series of 111,898 DM examinations (2003–2011) from one screening unit of the Dutch biennial screening program (age 50–75 years). Volumetric mammographic density was automatically assessed using Volpara. We determined screening performance measures for four density categories comparable to the American College of Radiology (ACR) breast density categories. Results: Of all the examinations, 21.6% were categorized as density category 1 (‘almost entirely fatty’) and 41.5, 28.9, and 8.0% as category 2–4 (‘extremely dense’), respectively. We identified 667 screen-detected and 234 interval cancers. Interval cancer rates were 0.7, 1.9, 2.9, and 4.4‰ and false positive rates were 11.2, 15.1, 18.2, and 23.8‰ for categories 1–4, respectively (both p-trend &lt; 0.001). The screening sensitivity, calculated as the proportion of screen-detected among the total of screen-detected and interval tumors, was lower in higher density categories: 85.7, 77.6, 69.5, and 61.0% for categories 1–4, respectively (p-trend &lt; 0.001). Conclusions: Volumetric mammographic density, automatically measured on digital mammograms, impacts screening performance measures along the same patterns as established with ACR breast density categories. Since measuring breast density fully automatically has much higher reproducibility than visual assessment, this automatic method could help with implementing density-based supplemental screening.","author":[{"dropping-particle":"","family":"Wanders","given":"Johanna O.P.","non-dropping-particle":"","parse-names":false,"suffix":""},{"dropping-particle":"","family":"Holland","given":"Katharina","non-dropping-particle":"","parse-names":false,"suffix":""},{"dropping-particle":"","family":"Veldhuis","given":"Wouter B.","non-dropping-particle":"","parse-names":false,"suffix":""},{"dropping-particle":"","family":"Mann","given":"Ritse M.","non-dropping-particle":"","parse-names":false,"suffix":""},{"dropping-particle":"","family":"Pijnappel","given":"Ruud M.","non-dropping-particle":"","parse-names":false,"suffix":""},{"dropping-particle":"","family":"Peeters","given":"Petra H.M.","non-dropping-particle":"","parse-names":false,"suffix":""},{"dropping-particle":"","family":"Gils","given":"Carla H.","non-dropping-particle":"van","parse-names":false,"suffix":""},{"dropping-particle":"","family":"Karssemeijer","given":"Nico","non-dropping-particle":"","parse-names":false,"suffix":""}],"container-title":"Breast Cancer Research and Treatment","id":"ITEM-1","issue":"1","issued":{"date-parts":[["2017","2","1"]]},"page":"95-103","publisher":"Springer New York LLC","title":"Volumetric breast density affects performance of digital screening mammography","type":"article-journal","volume":"162"},"uris":["http://www.mendeley.com/documents/?uuid=c5c22f8d-d244-3fe0-bcab-96a9dcf32f1b"]}],"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4B7C43">
              <w:rPr>
                <w:rFonts w:ascii="Times New Roman" w:hAnsi="Times New Roman" w:cs="Times New Roman"/>
                <w:noProof/>
              </w:rPr>
              <w:t>[8]</w:t>
            </w:r>
            <w:r>
              <w:rPr>
                <w:rFonts w:ascii="Times New Roman" w:hAnsi="Times New Roman" w:cs="Times New Roman"/>
              </w:rPr>
              <w:fldChar w:fldCharType="end"/>
            </w:r>
          </w:p>
        </w:tc>
      </w:tr>
      <w:tr w:rsidR="00E249AA" w14:paraId="542B2E5D" w14:textId="77777777" w:rsidTr="00710DF8">
        <w:tc>
          <w:tcPr>
            <w:tcW w:w="3005" w:type="dxa"/>
          </w:tcPr>
          <w:p w14:paraId="0605A532" w14:textId="7D76CD96" w:rsidR="00E249AA" w:rsidRDefault="00D027FB" w:rsidP="004B7C43">
            <w:pPr>
              <w:rPr>
                <w:rFonts w:ascii="Times New Roman" w:hAnsi="Times New Roman" w:cs="Times New Roman"/>
              </w:rPr>
            </w:pPr>
            <w:r>
              <w:rPr>
                <w:rFonts w:ascii="Times New Roman" w:hAnsi="Times New Roman" w:cs="Times New Roman"/>
              </w:rPr>
              <w:t>Detection rate of mammography in high density screens</w:t>
            </w:r>
          </w:p>
        </w:tc>
        <w:tc>
          <w:tcPr>
            <w:tcW w:w="3005" w:type="dxa"/>
          </w:tcPr>
          <w:p w14:paraId="219F2E7B" w14:textId="60754F92" w:rsidR="00E249AA" w:rsidRDefault="00D027FB">
            <w:pPr>
              <w:rPr>
                <w:rFonts w:ascii="Times New Roman" w:hAnsi="Times New Roman" w:cs="Times New Roman"/>
              </w:rPr>
            </w:pPr>
            <w:r>
              <w:rPr>
                <w:rFonts w:ascii="Times New Roman" w:hAnsi="Times New Roman" w:cs="Times New Roman"/>
              </w:rPr>
              <w:t>4.2 per 1,000 screens</w:t>
            </w:r>
          </w:p>
        </w:tc>
        <w:tc>
          <w:tcPr>
            <w:tcW w:w="8287" w:type="dxa"/>
          </w:tcPr>
          <w:p w14:paraId="72C6EAD0" w14:textId="3458677B" w:rsidR="00E249AA"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821056">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[9]","plainTextFormattedCitation":"[9]","previouslyFormattedCitation":"[9]"},"properties":{"noteIndex":0},"schema":"https://github.com/citation-style-language/schema/raw/master/csl-citation.json"}</w:instrText>
            </w:r>
            <w:r w:rsidR="00821056">
              <w:rPr>
                <w:rFonts w:ascii="Times New Roman" w:hAnsi="Times New Roman" w:cs="Times New Roman"/>
              </w:rPr>
              <w:fldChar w:fldCharType="separate"/>
            </w:r>
            <w:r w:rsidR="00821056" w:rsidRPr="00821056">
              <w:rPr>
                <w:rFonts w:ascii="Times New Roman" w:hAnsi="Times New Roman" w:cs="Times New Roman"/>
                <w:noProof/>
              </w:rPr>
              <w:t>[9]</w:t>
            </w:r>
            <w:r w:rsidR="00821056">
              <w:rPr>
                <w:rFonts w:ascii="Times New Roman" w:hAnsi="Times New Roman" w:cs="Times New Roman"/>
              </w:rPr>
              <w:fldChar w:fldCharType="end"/>
            </w:r>
          </w:p>
        </w:tc>
      </w:tr>
      <w:tr w:rsidR="00D027FB" w14:paraId="3C0D4A90" w14:textId="77777777" w:rsidTr="00710DF8">
        <w:tc>
          <w:tcPr>
            <w:tcW w:w="3005" w:type="dxa"/>
          </w:tcPr>
          <w:p w14:paraId="768FE87B" w14:textId="56280562" w:rsidR="00D027FB" w:rsidRDefault="00D027FB" w:rsidP="00D027FB">
            <w:pPr>
              <w:rPr>
                <w:rFonts w:ascii="Times New Roman" w:hAnsi="Times New Roman" w:cs="Times New Roman"/>
              </w:rPr>
            </w:pPr>
            <w:r>
              <w:rPr>
                <w:rFonts w:ascii="Times New Roman" w:hAnsi="Times New Roman" w:cs="Times New Roman"/>
              </w:rPr>
              <w:t>Incremental detection rate of magnetic resonance imaging mammography in high density screens after negative mammography</w:t>
            </w:r>
          </w:p>
        </w:tc>
        <w:tc>
          <w:tcPr>
            <w:tcW w:w="3005" w:type="dxa"/>
          </w:tcPr>
          <w:p w14:paraId="09D6AA27" w14:textId="686FD1CE" w:rsidR="00D027FB" w:rsidRDefault="00D027FB">
            <w:pPr>
              <w:rPr>
                <w:rFonts w:ascii="Times New Roman" w:hAnsi="Times New Roman" w:cs="Times New Roman"/>
              </w:rPr>
            </w:pPr>
            <w:r>
              <w:rPr>
                <w:rFonts w:ascii="Times New Roman" w:hAnsi="Times New Roman" w:cs="Times New Roman"/>
              </w:rPr>
              <w:t>5 per 1,000 screens</w:t>
            </w:r>
          </w:p>
        </w:tc>
        <w:tc>
          <w:tcPr>
            <w:tcW w:w="8287" w:type="dxa"/>
          </w:tcPr>
          <w:p w14:paraId="0B4A4A33" w14:textId="64F12870" w:rsidR="00D027FB" w:rsidRDefault="00821056" w:rsidP="00E93C39">
            <w:pPr>
              <w:rPr>
                <w:rFonts w:ascii="Times New Roman" w:hAnsi="Times New Roman" w:cs="Times New Roman"/>
              </w:rPr>
            </w:pPr>
            <w:r>
              <w:rPr>
                <w:rFonts w:ascii="Times New Roman" w:hAnsi="Times New Roman" w:cs="Times New Roman"/>
              </w:rPr>
              <w:t xml:space="preserve">Vreeman et al. (personal communication, 2015) see Gray et al. (2017) </w:t>
            </w:r>
            <w:r>
              <w:rPr>
                <w:rFonts w:ascii="Times New Roman" w:hAnsi="Times New Roman" w:cs="Times New Roman"/>
              </w:rPr>
              <w:fldChar w:fldCharType="begin" w:fldLock="1"/>
            </w:r>
            <w:r w:rsidR="00041D68">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821056">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t>
            </w:r>
          </w:p>
        </w:tc>
      </w:tr>
      <w:tr w:rsidR="00D027FB" w14:paraId="74188691" w14:textId="77777777" w:rsidTr="00710DF8">
        <w:tc>
          <w:tcPr>
            <w:tcW w:w="3005" w:type="dxa"/>
          </w:tcPr>
          <w:p w14:paraId="7951487E" w14:textId="4385CEC8" w:rsidR="00D027FB" w:rsidRDefault="00D027FB" w:rsidP="00D027FB">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3005" w:type="dxa"/>
          </w:tcPr>
          <w:p w14:paraId="3E56FBD1" w14:textId="1CA8C540" w:rsidR="00D027FB" w:rsidRDefault="00D027FB">
            <w:pPr>
              <w:rPr>
                <w:rFonts w:ascii="Times New Roman" w:hAnsi="Times New Roman" w:cs="Times New Roman"/>
              </w:rPr>
            </w:pPr>
            <w:r>
              <w:rPr>
                <w:rFonts w:ascii="Times New Roman" w:hAnsi="Times New Roman" w:cs="Times New Roman"/>
              </w:rPr>
              <w:t>3 per 1,000 screens</w:t>
            </w:r>
          </w:p>
        </w:tc>
        <w:tc>
          <w:tcPr>
            <w:tcW w:w="8287" w:type="dxa"/>
          </w:tcPr>
          <w:p w14:paraId="2A074616" w14:textId="5E817E7E" w:rsidR="00D027FB"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821056">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[9]","plainTextFormattedCitation":"[9]","previouslyFormattedCitation":"[9]"},"properties":{"noteIndex":0},"schema":"https://github.com/citation-style-language/schema/raw/master/csl-citation.json"}</w:instrText>
            </w:r>
            <w:r w:rsidR="00821056">
              <w:rPr>
                <w:rFonts w:ascii="Times New Roman" w:hAnsi="Times New Roman" w:cs="Times New Roman"/>
              </w:rPr>
              <w:fldChar w:fldCharType="separate"/>
            </w:r>
            <w:r w:rsidR="00821056" w:rsidRPr="00821056">
              <w:rPr>
                <w:rFonts w:ascii="Times New Roman" w:hAnsi="Times New Roman" w:cs="Times New Roman"/>
                <w:noProof/>
              </w:rPr>
              <w:t>[9]</w:t>
            </w:r>
            <w:r w:rsidR="00821056">
              <w:rPr>
                <w:rFonts w:ascii="Times New Roman" w:hAnsi="Times New Roman" w:cs="Times New Roman"/>
              </w:rPr>
              <w:fldChar w:fldCharType="end"/>
            </w:r>
          </w:p>
        </w:tc>
      </w:tr>
      <w:tr w:rsidR="00041D68" w14:paraId="1B9384F5" w14:textId="77777777" w:rsidTr="00710DF8">
        <w:tc>
          <w:tcPr>
            <w:tcW w:w="3005" w:type="dxa"/>
          </w:tcPr>
          <w:p w14:paraId="3309ABA4" w14:textId="438D3EBC" w:rsidR="00041D68" w:rsidRDefault="00041D68" w:rsidP="00D027FB">
            <w:pPr>
              <w:rPr>
                <w:rFonts w:ascii="Times New Roman" w:hAnsi="Times New Roman" w:cs="Times New Roman"/>
              </w:rPr>
            </w:pPr>
            <w:r>
              <w:rPr>
                <w:rFonts w:ascii="Times New Roman" w:hAnsi="Times New Roman" w:cs="Times New Roman"/>
              </w:rPr>
              <w:lastRenderedPageBreak/>
              <w:t>Recall rate for screening</w:t>
            </w:r>
          </w:p>
        </w:tc>
        <w:tc>
          <w:tcPr>
            <w:tcW w:w="3005" w:type="dxa"/>
          </w:tcPr>
          <w:p w14:paraId="150A7C9C" w14:textId="57BCAA5B" w:rsidR="00041D68" w:rsidRDefault="00041D68">
            <w:pPr>
              <w:rPr>
                <w:rFonts w:ascii="Times New Roman" w:hAnsi="Times New Roman" w:cs="Times New Roman"/>
              </w:rPr>
            </w:pPr>
            <w:r>
              <w:rPr>
                <w:rFonts w:ascii="Times New Roman" w:hAnsi="Times New Roman" w:cs="Times New Roman"/>
              </w:rPr>
              <w:t>4.56%</w:t>
            </w:r>
          </w:p>
        </w:tc>
        <w:tc>
          <w:tcPr>
            <w:tcW w:w="8287" w:type="dxa"/>
          </w:tcPr>
          <w:p w14:paraId="4E5B31D5" w14:textId="181421BC" w:rsidR="00041D68" w:rsidRDefault="00041D68" w:rsidP="00E93C39">
            <w:pPr>
              <w:rPr>
                <w:rFonts w:ascii="Times New Roman" w:hAnsi="Times New Roman" w:cs="Times New Roman"/>
              </w:rPr>
            </w:pPr>
            <w:r>
              <w:rPr>
                <w:rFonts w:ascii="Times New Roman" w:hAnsi="Times New Roman" w:cs="Times New Roman"/>
              </w:rPr>
              <w:t xml:space="preserve">Burnside et al. (2018) </w:t>
            </w:r>
            <w:r>
              <w:rPr>
                <w:rFonts w:ascii="Times New Roman" w:hAnsi="Times New Roman" w:cs="Times New Roman"/>
              </w:rPr>
              <w:fldChar w:fldCharType="begin" w:fldLock="1"/>
            </w:r>
            <w:r w:rsidR="002D5342">
              <w:rPr>
                <w:rFonts w:ascii="Times New Roman" w:hAnsi="Times New Roman" w:cs="Times New Roman"/>
              </w:rPr>
              <w:instrText>ADDIN CSL_CITATION {"citationItems":[{"id":"ITEM-1","itemData":{"DOI":"10.1148/RADIOL.2018171539/ASSET/IMAGES/LARGE/RADIOL.2018171539.FIG4.JPEG","ISSN":"15271315","PMID":"29613846","abstract":"Purpose: To determine whether low levels of recall lead to increased interval cancers and the magnitude of this effect. Materials and Methods: The authors retrospectively analyzed prospectively collected data from the UK National Health Service Breast Screening Programme during a 36-month period (April 1, 2005 to March 31, 2008), with 3-year follow-up in women aged 50–70 years. Data on recall, cancers detected at screening, and interval cancers were available for each of the 84 breast screening units and for each year (n = 252). The association between interval cancers and recalls was modeled by using Poisson regression on aggregated data and according to age (5-year intervals) and screening type (prevalent vs incident). Results: The authors analyzed 5 126 689 screening episodes, demonstrating an average recall to assessment rate (RAR) of 4.56% (range, 1.64%–8.42%; standard deviation, 1.15%), cancer detection rate of 8.1 per 1000 women screened, and interval cancer rate (ICR) of 3.1 per 1000 women screened. Overall, a significant negative association was found between RAR and ICR (Poisson regression coefficient: 20.039 [95% confidence interval: 20.062, 20.017]; P = .001), with approximately one fewer interval cancer for every additional 80–84 recalls. Subgroup analysis revealed similar negative correlations in women aged 50–54 years (P = .002), 60–64 years (P = .01), and 65–69 years (P = .008) as well as in incident screens (P = .001) and prevalent screens (P = .04). No significant relationship was found in women aged 55–59 years (P = .46). Conclusion: There was a statistically significant negative correlation between RAR and ICR, which suggests the merit of a minimum threshold for RAR.","author":[{"dropping-particle":"","family":"Burnside","given":"Elizabeth S.","non-dropping-particle":"","parse-names":false,"suffix":""},{"dropping-particle":"","family":"Vulkan","given":"Daniel","non-dropping-particle":"","parse-names":false,"suffix":""},{"dropping-particle":"","family":"Blanks","given":"Roger G.","non-dropping-particle":"","parse-names":false,"suffix":""},{"dropping-particle":"","family":"Duffy","given":"Stephen W.","non-dropping-particle":"","parse-names":false,"suffix":""}],"container-title":"Radiology","id":"ITEM-1","issue":"1","issued":{"date-parts":[["2018","7","1"]]},"page":"47-54","publisher":"Radiological Society of North America Inc.","title":"Association between screening mammography recall rate and interval cancers in the UK breast cancer service screening program: A cohort study","type":"article-journal","volume":"288"},"uris":["http://www.mendeley.com/documents/?uuid=2df58fb4-b9aa-313e-b177-549a5e3256d9"]}],"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041D68">
              <w:rPr>
                <w:rFonts w:ascii="Times New Roman" w:hAnsi="Times New Roman" w:cs="Times New Roman"/>
                <w:noProof/>
              </w:rPr>
              <w:t>[11]</w:t>
            </w:r>
            <w:r>
              <w:rPr>
                <w:rFonts w:ascii="Times New Roman" w:hAnsi="Times New Roman" w:cs="Times New Roman"/>
              </w:rPr>
              <w:fldChar w:fldCharType="end"/>
            </w:r>
          </w:p>
        </w:tc>
      </w:tr>
      <w:tr w:rsidR="00041D68" w14:paraId="1D6B01C5" w14:textId="77777777" w:rsidTr="00710DF8">
        <w:tc>
          <w:tcPr>
            <w:tcW w:w="3005" w:type="dxa"/>
          </w:tcPr>
          <w:p w14:paraId="0541428E" w14:textId="3E393D6B" w:rsidR="00041D68" w:rsidRDefault="00041D68" w:rsidP="00D027FB">
            <w:pPr>
              <w:rPr>
                <w:rFonts w:ascii="Times New Roman" w:hAnsi="Times New Roman" w:cs="Times New Roman"/>
              </w:rPr>
            </w:pPr>
            <w:r>
              <w:rPr>
                <w:rFonts w:ascii="Times New Roman" w:hAnsi="Times New Roman" w:cs="Times New Roman"/>
              </w:rPr>
              <w:t>Biopsy rate for screening</w:t>
            </w:r>
          </w:p>
        </w:tc>
        <w:tc>
          <w:tcPr>
            <w:tcW w:w="3005" w:type="dxa"/>
          </w:tcPr>
          <w:p w14:paraId="33A2F9A2" w14:textId="4E7164C3" w:rsidR="00041D68" w:rsidRDefault="00041D68">
            <w:pPr>
              <w:rPr>
                <w:rFonts w:ascii="Times New Roman" w:hAnsi="Times New Roman" w:cs="Times New Roman"/>
              </w:rPr>
            </w:pPr>
            <w:r>
              <w:rPr>
                <w:rFonts w:ascii="Times New Roman" w:hAnsi="Times New Roman" w:cs="Times New Roman"/>
              </w:rPr>
              <w:t>2.40%</w:t>
            </w:r>
          </w:p>
        </w:tc>
        <w:tc>
          <w:tcPr>
            <w:tcW w:w="8287" w:type="dxa"/>
          </w:tcPr>
          <w:p w14:paraId="0E4F9099" w14:textId="67D021FD" w:rsidR="00041D68" w:rsidRDefault="002D5342"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sidR="00F8300F">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2D5342">
              <w:rPr>
                <w:rFonts w:ascii="Times New Roman" w:hAnsi="Times New Roman" w:cs="Times New Roman"/>
                <w:noProof/>
              </w:rPr>
              <w:t>[1]</w:t>
            </w:r>
            <w:r>
              <w:rPr>
                <w:rFonts w:ascii="Times New Roman" w:hAnsi="Times New Roman" w:cs="Times New Roman"/>
              </w:rPr>
              <w:fldChar w:fldCharType="end"/>
            </w:r>
          </w:p>
        </w:tc>
      </w:tr>
      <w:tr w:rsidR="008A5AB8" w14:paraId="2E91176C" w14:textId="77777777" w:rsidTr="00710DF8">
        <w:tc>
          <w:tcPr>
            <w:tcW w:w="14297" w:type="dxa"/>
            <w:gridSpan w:val="3"/>
          </w:tcPr>
          <w:p w14:paraId="226C449E" w14:textId="03867E13" w:rsidR="008A5AB8" w:rsidRDefault="008A5AB8" w:rsidP="00E93C39">
            <w:pPr>
              <w:rPr>
                <w:rFonts w:ascii="Times New Roman" w:hAnsi="Times New Roman" w:cs="Times New Roman"/>
              </w:rPr>
            </w:pPr>
            <w:r>
              <w:rPr>
                <w:rFonts w:ascii="Times New Roman" w:hAnsi="Times New Roman" w:cs="Times New Roman"/>
              </w:rPr>
              <w:t>Growth Model Parameters</w:t>
            </w:r>
          </w:p>
        </w:tc>
      </w:tr>
      <w:tr w:rsidR="008A5AB8" w14:paraId="395CFB2B" w14:textId="77777777" w:rsidTr="00710DF8">
        <w:tc>
          <w:tcPr>
            <w:tcW w:w="3005" w:type="dxa"/>
          </w:tcPr>
          <w:p w14:paraId="7189141E" w14:textId="792177E4" w:rsidR="008A5AB8" w:rsidRDefault="008A5AB8" w:rsidP="00D027FB">
            <w:pPr>
              <w:rPr>
                <w:rFonts w:ascii="Times New Roman" w:hAnsi="Times New Roman" w:cs="Times New Roman"/>
              </w:rPr>
            </w:pPr>
            <w:r>
              <w:rPr>
                <w:rFonts w:ascii="Times New Roman" w:hAnsi="Times New Roman" w:cs="Times New Roman"/>
              </w:rPr>
              <w:t>Mean doubling rate for tumours</w:t>
            </w:r>
          </w:p>
        </w:tc>
        <w:tc>
          <w:tcPr>
            <w:tcW w:w="3005" w:type="dxa"/>
          </w:tcPr>
          <w:p w14:paraId="32D5AB33" w14:textId="7A1D46BC" w:rsidR="008A5AB8" w:rsidRDefault="008A5AB8">
            <w:pPr>
              <w:rPr>
                <w:rFonts w:ascii="Times New Roman" w:hAnsi="Times New Roman" w:cs="Times New Roman"/>
              </w:rPr>
            </w:pPr>
            <w:r>
              <w:rPr>
                <w:rFonts w:ascii="Times New Roman" w:hAnsi="Times New Roman" w:cs="Times New Roman"/>
              </w:rPr>
              <w:t>4.12</w:t>
            </w:r>
          </w:p>
        </w:tc>
        <w:tc>
          <w:tcPr>
            <w:tcW w:w="8287" w:type="dxa"/>
          </w:tcPr>
          <w:p w14:paraId="4A15975F" w14:textId="381CDC38"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23718E40" w14:textId="77777777" w:rsidTr="00710DF8">
        <w:tc>
          <w:tcPr>
            <w:tcW w:w="3005" w:type="dxa"/>
          </w:tcPr>
          <w:p w14:paraId="36291350" w14:textId="0E240690" w:rsidR="008A5AB8" w:rsidRDefault="008A5AB8" w:rsidP="00D027FB">
            <w:pPr>
              <w:rPr>
                <w:rFonts w:ascii="Times New Roman" w:hAnsi="Times New Roman" w:cs="Times New Roman"/>
              </w:rPr>
            </w:pPr>
            <w:r>
              <w:rPr>
                <w:rFonts w:ascii="Times New Roman" w:hAnsi="Times New Roman" w:cs="Times New Roman"/>
              </w:rPr>
              <w:t>Standard deviation of doubling rate for tumour</w:t>
            </w:r>
          </w:p>
        </w:tc>
        <w:tc>
          <w:tcPr>
            <w:tcW w:w="3005" w:type="dxa"/>
          </w:tcPr>
          <w:p w14:paraId="60D6A699" w14:textId="41C77FE4" w:rsidR="008A5AB8" w:rsidRDefault="008A5AB8">
            <w:pPr>
              <w:rPr>
                <w:rFonts w:ascii="Times New Roman" w:hAnsi="Times New Roman" w:cs="Times New Roman"/>
              </w:rPr>
            </w:pPr>
            <w:r>
              <w:rPr>
                <w:rFonts w:ascii="Times New Roman" w:hAnsi="Times New Roman" w:cs="Times New Roman"/>
              </w:rPr>
              <w:t>3.93</w:t>
            </w:r>
          </w:p>
        </w:tc>
        <w:tc>
          <w:tcPr>
            <w:tcW w:w="8287" w:type="dxa"/>
          </w:tcPr>
          <w:p w14:paraId="25C220D0" w14:textId="6CC8BB01"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9568279" w14:textId="77777777" w:rsidTr="00710DF8">
        <w:tc>
          <w:tcPr>
            <w:tcW w:w="3005" w:type="dxa"/>
          </w:tcPr>
          <w:p w14:paraId="04370DC2" w14:textId="5ACF29FB" w:rsidR="008A5AB8" w:rsidRDefault="008A5AB8" w:rsidP="00D027FB">
            <w:pPr>
              <w:rPr>
                <w:rFonts w:ascii="Times New Roman" w:hAnsi="Times New Roman" w:cs="Times New Roman"/>
              </w:rPr>
            </w:pPr>
            <w:r>
              <w:rPr>
                <w:rFonts w:ascii="Times New Roman" w:hAnsi="Times New Roman" w:cs="Times New Roman"/>
              </w:rPr>
              <w:t>Mean tumour doublings at clinical detection</w:t>
            </w:r>
          </w:p>
        </w:tc>
        <w:tc>
          <w:tcPr>
            <w:tcW w:w="3005" w:type="dxa"/>
          </w:tcPr>
          <w:p w14:paraId="4F178E03" w14:textId="183DACCD" w:rsidR="008A5AB8" w:rsidRDefault="008A5AB8">
            <w:pPr>
              <w:rPr>
                <w:rFonts w:ascii="Times New Roman" w:hAnsi="Times New Roman" w:cs="Times New Roman"/>
              </w:rPr>
            </w:pPr>
            <w:r>
              <w:rPr>
                <w:rFonts w:ascii="Times New Roman" w:hAnsi="Times New Roman" w:cs="Times New Roman"/>
              </w:rPr>
              <w:t>6.5</w:t>
            </w:r>
          </w:p>
        </w:tc>
        <w:tc>
          <w:tcPr>
            <w:tcW w:w="8287" w:type="dxa"/>
          </w:tcPr>
          <w:p w14:paraId="55AFEE51" w14:textId="4DF71082"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04538D20" w14:textId="77777777" w:rsidTr="00710DF8">
        <w:tc>
          <w:tcPr>
            <w:tcW w:w="3005" w:type="dxa"/>
          </w:tcPr>
          <w:p w14:paraId="66D84F1F" w14:textId="0CA10F1E" w:rsidR="008A5AB8" w:rsidRDefault="008A5AB8" w:rsidP="00D027FB">
            <w:pPr>
              <w:rPr>
                <w:rFonts w:ascii="Times New Roman" w:hAnsi="Times New Roman" w:cs="Times New Roman"/>
              </w:rPr>
            </w:pPr>
            <w:r>
              <w:rPr>
                <w:rFonts w:ascii="Times New Roman" w:hAnsi="Times New Roman" w:cs="Times New Roman"/>
              </w:rPr>
              <w:t>Standard deviation of tumour doublings at clinical detection</w:t>
            </w:r>
          </w:p>
        </w:tc>
        <w:tc>
          <w:tcPr>
            <w:tcW w:w="3005" w:type="dxa"/>
          </w:tcPr>
          <w:p w14:paraId="13603912" w14:textId="3EF866FE" w:rsidR="008A5AB8" w:rsidRDefault="008A5AB8">
            <w:pPr>
              <w:rPr>
                <w:rFonts w:ascii="Times New Roman" w:hAnsi="Times New Roman" w:cs="Times New Roman"/>
              </w:rPr>
            </w:pPr>
            <w:r>
              <w:rPr>
                <w:rFonts w:ascii="Times New Roman" w:hAnsi="Times New Roman" w:cs="Times New Roman"/>
              </w:rPr>
              <w:t>0.535</w:t>
            </w:r>
          </w:p>
        </w:tc>
        <w:tc>
          <w:tcPr>
            <w:tcW w:w="8287" w:type="dxa"/>
          </w:tcPr>
          <w:p w14:paraId="6D7A3516" w14:textId="5894B6E4"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4059938" w14:textId="77777777" w:rsidTr="00710DF8">
        <w:tc>
          <w:tcPr>
            <w:tcW w:w="3005" w:type="dxa"/>
          </w:tcPr>
          <w:p w14:paraId="75F9D5D9" w14:textId="59521253" w:rsidR="008A5AB8" w:rsidRDefault="008A5AB8" w:rsidP="008A5AB8">
            <w:pPr>
              <w:rPr>
                <w:rFonts w:ascii="Times New Roman" w:hAnsi="Times New Roman" w:cs="Times New Roman"/>
              </w:rPr>
            </w:pPr>
            <w:r>
              <w:rPr>
                <w:rFonts w:ascii="Times New Roman" w:hAnsi="Times New Roman" w:cs="Times New Roman"/>
              </w:rPr>
              <w:t>Mean tumour doublings at screen detection</w:t>
            </w:r>
          </w:p>
        </w:tc>
        <w:tc>
          <w:tcPr>
            <w:tcW w:w="3005" w:type="dxa"/>
          </w:tcPr>
          <w:p w14:paraId="0C8DD27B" w14:textId="4C218BC3" w:rsidR="008A5AB8" w:rsidRDefault="00D06FC1" w:rsidP="008A5AB8">
            <w:pPr>
              <w:rPr>
                <w:rFonts w:ascii="Times New Roman" w:hAnsi="Times New Roman" w:cs="Times New Roman"/>
              </w:rPr>
            </w:pPr>
            <w:r>
              <w:rPr>
                <w:rFonts w:ascii="Times New Roman" w:hAnsi="Times New Roman" w:cs="Times New Roman"/>
              </w:rPr>
              <w:t>6.12</w:t>
            </w:r>
          </w:p>
        </w:tc>
        <w:tc>
          <w:tcPr>
            <w:tcW w:w="8287" w:type="dxa"/>
          </w:tcPr>
          <w:p w14:paraId="37D07AD9" w14:textId="04C339F9" w:rsidR="008A5AB8"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B96F959" w14:textId="77777777" w:rsidTr="00710DF8">
        <w:tc>
          <w:tcPr>
            <w:tcW w:w="3005" w:type="dxa"/>
          </w:tcPr>
          <w:p w14:paraId="4ADBF3B1" w14:textId="6CF46FBD" w:rsidR="008A5AB8" w:rsidRDefault="008A5AB8" w:rsidP="008A5AB8">
            <w:pPr>
              <w:rPr>
                <w:rFonts w:ascii="Times New Roman" w:hAnsi="Times New Roman" w:cs="Times New Roman"/>
              </w:rPr>
            </w:pPr>
            <w:r>
              <w:rPr>
                <w:rFonts w:ascii="Times New Roman" w:hAnsi="Times New Roman" w:cs="Times New Roman"/>
              </w:rPr>
              <w:t>Standard deviation of tumour doublings at screen detection</w:t>
            </w:r>
          </w:p>
        </w:tc>
        <w:tc>
          <w:tcPr>
            <w:tcW w:w="3005" w:type="dxa"/>
          </w:tcPr>
          <w:p w14:paraId="73209A06" w14:textId="47D7BC05" w:rsidR="008A5AB8" w:rsidRDefault="00D06FC1" w:rsidP="008A5AB8">
            <w:pPr>
              <w:rPr>
                <w:rFonts w:ascii="Times New Roman" w:hAnsi="Times New Roman" w:cs="Times New Roman"/>
              </w:rPr>
            </w:pPr>
            <w:r>
              <w:rPr>
                <w:rFonts w:ascii="Times New Roman" w:hAnsi="Times New Roman" w:cs="Times New Roman"/>
              </w:rPr>
              <w:t>0.96</w:t>
            </w:r>
          </w:p>
        </w:tc>
        <w:tc>
          <w:tcPr>
            <w:tcW w:w="8287" w:type="dxa"/>
          </w:tcPr>
          <w:p w14:paraId="44C1D862" w14:textId="66B29713" w:rsidR="008A5AB8"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21EE36EF" w14:textId="77777777" w:rsidTr="00710DF8">
        <w:tc>
          <w:tcPr>
            <w:tcW w:w="3005" w:type="dxa"/>
          </w:tcPr>
          <w:p w14:paraId="0E54C5C7" w14:textId="3103A32D" w:rsidR="007F2147" w:rsidRDefault="007F2147" w:rsidP="008A5AB8">
            <w:pPr>
              <w:rPr>
                <w:rFonts w:ascii="Times New Roman" w:hAnsi="Times New Roman" w:cs="Times New Roman"/>
              </w:rPr>
            </w:pPr>
            <w:r>
              <w:rPr>
                <w:rFonts w:ascii="Times New Roman" w:hAnsi="Times New Roman" w:cs="Times New Roman"/>
              </w:rPr>
              <w:t>Log normal mean of tumour growth rate</w:t>
            </w:r>
          </w:p>
        </w:tc>
        <w:tc>
          <w:tcPr>
            <w:tcW w:w="3005" w:type="dxa"/>
          </w:tcPr>
          <w:p w14:paraId="653426F4" w14:textId="7B3C985A" w:rsidR="007F2147" w:rsidRDefault="007F2147" w:rsidP="008A5AB8">
            <w:pPr>
              <w:rPr>
                <w:rFonts w:ascii="Times New Roman" w:hAnsi="Times New Roman" w:cs="Times New Roman"/>
              </w:rPr>
            </w:pPr>
            <w:r>
              <w:rPr>
                <w:rFonts w:ascii="Times New Roman" w:hAnsi="Times New Roman" w:cs="Times New Roman"/>
              </w:rPr>
              <w:t>1.07</w:t>
            </w:r>
          </w:p>
        </w:tc>
        <w:tc>
          <w:tcPr>
            <w:tcW w:w="8287" w:type="dxa"/>
          </w:tcPr>
          <w:p w14:paraId="1CC7394E" w14:textId="6D7D418F"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0A447300" w14:textId="77777777" w:rsidTr="00710DF8">
        <w:tc>
          <w:tcPr>
            <w:tcW w:w="3005" w:type="dxa"/>
          </w:tcPr>
          <w:p w14:paraId="4ABE413F" w14:textId="000F25A6" w:rsidR="007F2147" w:rsidRDefault="007F2147" w:rsidP="008A5AB8">
            <w:pPr>
              <w:rPr>
                <w:rFonts w:ascii="Times New Roman" w:hAnsi="Times New Roman" w:cs="Times New Roman"/>
              </w:rPr>
            </w:pPr>
            <w:r>
              <w:rPr>
                <w:rFonts w:ascii="Times New Roman" w:hAnsi="Times New Roman" w:cs="Times New Roman"/>
              </w:rPr>
              <w:t>Log normal standard deviation of tumour growth rate</w:t>
            </w:r>
          </w:p>
        </w:tc>
        <w:tc>
          <w:tcPr>
            <w:tcW w:w="3005" w:type="dxa"/>
          </w:tcPr>
          <w:p w14:paraId="7FD9E03B" w14:textId="39EAD5E9" w:rsidR="007F2147" w:rsidRDefault="007F2147" w:rsidP="008A5AB8">
            <w:pPr>
              <w:rPr>
                <w:rFonts w:ascii="Times New Roman" w:hAnsi="Times New Roman" w:cs="Times New Roman"/>
              </w:rPr>
            </w:pPr>
            <w:r>
              <w:rPr>
                <w:rFonts w:ascii="Times New Roman" w:hAnsi="Times New Roman" w:cs="Times New Roman"/>
              </w:rPr>
              <w:t>1.31</w:t>
            </w:r>
          </w:p>
        </w:tc>
        <w:tc>
          <w:tcPr>
            <w:tcW w:w="8287" w:type="dxa"/>
          </w:tcPr>
          <w:p w14:paraId="647C292C" w14:textId="0A297A9E"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154B9166" w14:textId="77777777" w:rsidTr="00710DF8">
        <w:tc>
          <w:tcPr>
            <w:tcW w:w="3005" w:type="dxa"/>
          </w:tcPr>
          <w:p w14:paraId="16517ED2" w14:textId="48D79862" w:rsidR="007F2147" w:rsidRDefault="007F2147" w:rsidP="008A5AB8">
            <w:pPr>
              <w:rPr>
                <w:rFonts w:ascii="Times New Roman" w:hAnsi="Times New Roman" w:cs="Times New Roman"/>
              </w:rPr>
            </w:pPr>
            <w:r>
              <w:rPr>
                <w:rFonts w:ascii="Times New Roman" w:hAnsi="Times New Roman" w:cs="Times New Roman"/>
              </w:rPr>
              <w:t>Maximum tumour size (mm)</w:t>
            </w:r>
          </w:p>
        </w:tc>
        <w:tc>
          <w:tcPr>
            <w:tcW w:w="3005" w:type="dxa"/>
          </w:tcPr>
          <w:p w14:paraId="4F7AFE5A" w14:textId="4600D23B" w:rsidR="007F2147" w:rsidRDefault="007F2147" w:rsidP="008A5AB8">
            <w:pPr>
              <w:rPr>
                <w:rFonts w:ascii="Times New Roman" w:hAnsi="Times New Roman" w:cs="Times New Roman"/>
              </w:rPr>
            </w:pPr>
            <w:r>
              <w:rPr>
                <w:rFonts w:ascii="Times New Roman" w:hAnsi="Times New Roman" w:cs="Times New Roman"/>
              </w:rPr>
              <w:t>128</w:t>
            </w:r>
          </w:p>
        </w:tc>
        <w:tc>
          <w:tcPr>
            <w:tcW w:w="8287" w:type="dxa"/>
          </w:tcPr>
          <w:p w14:paraId="3C7CA826" w14:textId="09B80FEA"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63B5FE55" w14:textId="77777777" w:rsidTr="00710DF8">
        <w:tc>
          <w:tcPr>
            <w:tcW w:w="3005" w:type="dxa"/>
          </w:tcPr>
          <w:p w14:paraId="0F15B67F" w14:textId="52E7D090" w:rsidR="007F2147" w:rsidRDefault="007F2147" w:rsidP="008A5AB8">
            <w:pPr>
              <w:rPr>
                <w:rFonts w:ascii="Times New Roman" w:hAnsi="Times New Roman" w:cs="Times New Roman"/>
              </w:rPr>
            </w:pPr>
            <w:r>
              <w:rPr>
                <w:rFonts w:ascii="Times New Roman" w:hAnsi="Times New Roman" w:cs="Times New Roman"/>
              </w:rPr>
              <w:t>Starting tumour size (mm)</w:t>
            </w:r>
          </w:p>
        </w:tc>
        <w:tc>
          <w:tcPr>
            <w:tcW w:w="3005" w:type="dxa"/>
          </w:tcPr>
          <w:p w14:paraId="4F06E1B4" w14:textId="3149E01E" w:rsidR="007F2147" w:rsidRDefault="007F2147" w:rsidP="008A5AB8">
            <w:pPr>
              <w:rPr>
                <w:rFonts w:ascii="Times New Roman" w:hAnsi="Times New Roman" w:cs="Times New Roman"/>
              </w:rPr>
            </w:pPr>
            <w:r>
              <w:rPr>
                <w:rFonts w:ascii="Times New Roman" w:hAnsi="Times New Roman" w:cs="Times New Roman"/>
              </w:rPr>
              <w:t>0.25</w:t>
            </w:r>
          </w:p>
        </w:tc>
        <w:tc>
          <w:tcPr>
            <w:tcW w:w="8287" w:type="dxa"/>
          </w:tcPr>
          <w:p w14:paraId="560D9FBD" w14:textId="4818E46A"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bl>
    <w:p w14:paraId="57CAA593" w14:textId="77777777" w:rsidR="00567F2C" w:rsidRDefault="00567F2C"/>
    <w:p w14:paraId="143ED517" w14:textId="3ACB1053" w:rsidR="00567F2C" w:rsidRDefault="00F6378D">
      <w:pPr>
        <w:rPr>
          <w:rFonts w:ascii="Times New Roman" w:hAnsi="Times New Roman" w:cs="Times New Roman"/>
        </w:rPr>
      </w:pPr>
      <w:r w:rsidRPr="00F6378D">
        <w:rPr>
          <w:rFonts w:ascii="Times New Roman" w:hAnsi="Times New Roman" w:cs="Times New Roman"/>
        </w:rPr>
        <w:t>Table 2: Costs use din deterministic model</w:t>
      </w:r>
    </w:p>
    <w:tbl>
      <w:tblPr>
        <w:tblStyle w:val="TableGrid"/>
        <w:tblW w:w="14184" w:type="dxa"/>
        <w:tblLook w:val="04A0" w:firstRow="1" w:lastRow="0" w:firstColumn="1" w:lastColumn="0" w:noHBand="0" w:noVBand="1"/>
      </w:tblPr>
      <w:tblGrid>
        <w:gridCol w:w="2972"/>
        <w:gridCol w:w="3119"/>
        <w:gridCol w:w="8093"/>
      </w:tblGrid>
      <w:tr w:rsidR="00F6378D" w14:paraId="7FC4770E" w14:textId="77777777" w:rsidTr="00710DF8">
        <w:tc>
          <w:tcPr>
            <w:tcW w:w="2972" w:type="dxa"/>
          </w:tcPr>
          <w:p w14:paraId="754D7C6B" w14:textId="6F85D217" w:rsidR="00F6378D" w:rsidRDefault="00F6378D" w:rsidP="00F6378D">
            <w:pPr>
              <w:rPr>
                <w:rFonts w:ascii="Times New Roman" w:hAnsi="Times New Roman" w:cs="Times New Roman"/>
              </w:rPr>
            </w:pPr>
            <w:r w:rsidRPr="00567F2C">
              <w:rPr>
                <w:rFonts w:ascii="Times New Roman" w:hAnsi="Times New Roman" w:cs="Times New Roman"/>
                <w:b/>
              </w:rPr>
              <w:t>Parameter</w:t>
            </w:r>
          </w:p>
        </w:tc>
        <w:tc>
          <w:tcPr>
            <w:tcW w:w="3119" w:type="dxa"/>
          </w:tcPr>
          <w:p w14:paraId="38AB16F3" w14:textId="7BD9AE51" w:rsidR="00F6378D" w:rsidRDefault="00F6378D" w:rsidP="00F6378D">
            <w:pPr>
              <w:rPr>
                <w:rFonts w:ascii="Times New Roman" w:hAnsi="Times New Roman" w:cs="Times New Roman"/>
              </w:rPr>
            </w:pPr>
            <w:r w:rsidRPr="00567F2C">
              <w:rPr>
                <w:rFonts w:ascii="Times New Roman" w:hAnsi="Times New Roman" w:cs="Times New Roman"/>
                <w:b/>
              </w:rPr>
              <w:t>Value</w:t>
            </w:r>
          </w:p>
        </w:tc>
        <w:tc>
          <w:tcPr>
            <w:tcW w:w="8093" w:type="dxa"/>
          </w:tcPr>
          <w:p w14:paraId="169C2858" w14:textId="69016444" w:rsidR="00F6378D" w:rsidRDefault="00F6378D" w:rsidP="00F6378D">
            <w:pPr>
              <w:rPr>
                <w:rFonts w:ascii="Times New Roman" w:hAnsi="Times New Roman" w:cs="Times New Roman"/>
              </w:rPr>
            </w:pPr>
            <w:r w:rsidRPr="00567F2C">
              <w:rPr>
                <w:rFonts w:ascii="Times New Roman" w:hAnsi="Times New Roman" w:cs="Times New Roman"/>
                <w:b/>
              </w:rPr>
              <w:t>Sources and Assumptions</w:t>
            </w:r>
          </w:p>
        </w:tc>
      </w:tr>
      <w:tr w:rsidR="00F6378D" w14:paraId="3FD3B4DA" w14:textId="77777777" w:rsidTr="00710DF8">
        <w:tc>
          <w:tcPr>
            <w:tcW w:w="2972" w:type="dxa"/>
          </w:tcPr>
          <w:p w14:paraId="2F18520B" w14:textId="5652281A" w:rsidR="00F6378D" w:rsidRDefault="00F6378D" w:rsidP="00F6378D">
            <w:pPr>
              <w:rPr>
                <w:rFonts w:ascii="Times New Roman" w:hAnsi="Times New Roman" w:cs="Times New Roman"/>
              </w:rPr>
            </w:pPr>
            <w:r>
              <w:rPr>
                <w:rFonts w:ascii="Times New Roman" w:hAnsi="Times New Roman" w:cs="Times New Roman"/>
              </w:rPr>
              <w:t>Cost of risk stratification</w:t>
            </w:r>
          </w:p>
        </w:tc>
        <w:tc>
          <w:tcPr>
            <w:tcW w:w="3119" w:type="dxa"/>
          </w:tcPr>
          <w:p w14:paraId="53103082" w14:textId="05CDC2F2" w:rsidR="00F6378D" w:rsidRDefault="00F6378D" w:rsidP="00F6378D">
            <w:pPr>
              <w:rPr>
                <w:rFonts w:ascii="Times New Roman" w:hAnsi="Times New Roman" w:cs="Times New Roman"/>
              </w:rPr>
            </w:pPr>
            <w:r>
              <w:rPr>
                <w:rFonts w:ascii="Times New Roman" w:hAnsi="Times New Roman" w:cs="Times New Roman"/>
              </w:rPr>
              <w:t>£8.17</w:t>
            </w:r>
          </w:p>
        </w:tc>
        <w:tc>
          <w:tcPr>
            <w:tcW w:w="8093" w:type="dxa"/>
          </w:tcPr>
          <w:p w14:paraId="2F21D421" w14:textId="496B9275" w:rsidR="00F6378D" w:rsidRDefault="00F6378D" w:rsidP="00F6378D">
            <w:pPr>
              <w:rPr>
                <w:rFonts w:ascii="Times New Roman" w:hAnsi="Times New Roman" w:cs="Times New Roman"/>
              </w:rPr>
            </w:pPr>
            <w:r>
              <w:rPr>
                <w:rFonts w:ascii="Times New Roman" w:hAnsi="Times New Roman" w:cs="Times New Roman"/>
              </w:rPr>
              <w:t>Ongoing microcosting study</w:t>
            </w:r>
          </w:p>
        </w:tc>
      </w:tr>
      <w:tr w:rsidR="00F6378D" w14:paraId="673069EF" w14:textId="77777777" w:rsidTr="00710DF8">
        <w:tc>
          <w:tcPr>
            <w:tcW w:w="2972" w:type="dxa"/>
          </w:tcPr>
          <w:p w14:paraId="37CDF83F" w14:textId="2351B816" w:rsidR="00F6378D" w:rsidRDefault="00F6378D" w:rsidP="00F6378D">
            <w:pPr>
              <w:rPr>
                <w:rFonts w:ascii="Times New Roman" w:hAnsi="Times New Roman" w:cs="Times New Roman"/>
              </w:rPr>
            </w:pPr>
            <w:r>
              <w:rPr>
                <w:rFonts w:ascii="Times New Roman" w:hAnsi="Times New Roman" w:cs="Times New Roman"/>
              </w:rPr>
              <w:t>Cost of mammography screen</w:t>
            </w:r>
          </w:p>
        </w:tc>
        <w:tc>
          <w:tcPr>
            <w:tcW w:w="3119" w:type="dxa"/>
          </w:tcPr>
          <w:p w14:paraId="73B955AF" w14:textId="715BD688" w:rsidR="00F6378D" w:rsidRDefault="00F6378D" w:rsidP="00F6378D">
            <w:pPr>
              <w:rPr>
                <w:rFonts w:ascii="Times New Roman" w:hAnsi="Times New Roman" w:cs="Times New Roman"/>
              </w:rPr>
            </w:pPr>
            <w:r>
              <w:rPr>
                <w:rFonts w:ascii="Times New Roman" w:hAnsi="Times New Roman" w:cs="Times New Roman"/>
              </w:rPr>
              <w:t>£60.93</w:t>
            </w:r>
          </w:p>
        </w:tc>
        <w:tc>
          <w:tcPr>
            <w:tcW w:w="8093" w:type="dxa"/>
          </w:tcPr>
          <w:p w14:paraId="3957DF11" w14:textId="77777777" w:rsidR="00F6378D" w:rsidRDefault="00F6378D" w:rsidP="00F6378D">
            <w:pPr>
              <w:rPr>
                <w:rFonts w:ascii="Times New Roman" w:hAnsi="Times New Roman" w:cs="Times New Roman"/>
              </w:rPr>
            </w:pPr>
            <w:r>
              <w:rPr>
                <w:rFonts w:ascii="Times New Roman" w:hAnsi="Times New Roman" w:cs="Times New Roman"/>
              </w:rPr>
              <w:t>Pragmatic microcosting</w:t>
            </w:r>
          </w:p>
          <w:p w14:paraId="7ECC773C" w14:textId="77777777" w:rsidR="00F6378D" w:rsidRDefault="00F6378D" w:rsidP="00F6378D">
            <w:pPr>
              <w:rPr>
                <w:rFonts w:ascii="Times New Roman" w:hAnsi="Times New Roman" w:cs="Times New Roman"/>
              </w:rPr>
            </w:pPr>
          </w:p>
          <w:p w14:paraId="281921BF" w14:textId="67E43183" w:rsidR="00F6378D" w:rsidRDefault="00F6378D" w:rsidP="00F6378D">
            <w:pPr>
              <w:rPr>
                <w:rFonts w:ascii="Times New Roman" w:hAnsi="Times New Roman" w:cs="Times New Roman"/>
              </w:rPr>
            </w:pPr>
            <w:commentRangeStart w:id="3"/>
            <w:r>
              <w:rPr>
                <w:rFonts w:ascii="Times New Roman" w:hAnsi="Times New Roman" w:cs="Times New Roman"/>
              </w:rPr>
              <w:t>See supplementary appendix X</w:t>
            </w:r>
            <w:commentRangeEnd w:id="3"/>
            <w:r>
              <w:rPr>
                <w:rStyle w:val="CommentReference"/>
              </w:rPr>
              <w:commentReference w:id="3"/>
            </w:r>
          </w:p>
        </w:tc>
      </w:tr>
      <w:tr w:rsidR="00F6378D" w14:paraId="73AC3188" w14:textId="77777777" w:rsidTr="00710DF8">
        <w:tc>
          <w:tcPr>
            <w:tcW w:w="2972" w:type="dxa"/>
          </w:tcPr>
          <w:p w14:paraId="475CF5F4" w14:textId="4F445416" w:rsidR="00F6378D" w:rsidRDefault="00F6378D" w:rsidP="00F6378D">
            <w:pPr>
              <w:rPr>
                <w:rFonts w:ascii="Times New Roman" w:hAnsi="Times New Roman" w:cs="Times New Roman"/>
              </w:rPr>
            </w:pPr>
            <w:r>
              <w:rPr>
                <w:rFonts w:ascii="Times New Roman" w:hAnsi="Times New Roman" w:cs="Times New Roman"/>
              </w:rPr>
              <w:t>Cost of follow up</w:t>
            </w:r>
          </w:p>
        </w:tc>
        <w:tc>
          <w:tcPr>
            <w:tcW w:w="3119" w:type="dxa"/>
          </w:tcPr>
          <w:p w14:paraId="54545C58" w14:textId="1076A4EF" w:rsidR="00F6378D" w:rsidRDefault="00F6378D" w:rsidP="00F6378D">
            <w:pPr>
              <w:rPr>
                <w:rFonts w:ascii="Times New Roman" w:hAnsi="Times New Roman" w:cs="Times New Roman"/>
              </w:rPr>
            </w:pPr>
            <w:r>
              <w:rPr>
                <w:rFonts w:ascii="Times New Roman" w:hAnsi="Times New Roman" w:cs="Times New Roman"/>
              </w:rPr>
              <w:t>£106.16</w:t>
            </w:r>
          </w:p>
        </w:tc>
        <w:tc>
          <w:tcPr>
            <w:tcW w:w="8093" w:type="dxa"/>
          </w:tcPr>
          <w:p w14:paraId="4367797B" w14:textId="2009A88F" w:rsidR="00F6378D" w:rsidRDefault="00F6378D"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2F201D">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F6378D">
              <w:rPr>
                <w:rFonts w:ascii="Times New Roman" w:hAnsi="Times New Roman" w:cs="Times New Roman"/>
                <w:noProof/>
              </w:rPr>
              <w:t>[10]</w:t>
            </w:r>
            <w:r>
              <w:rPr>
                <w:rFonts w:ascii="Times New Roman" w:hAnsi="Times New Roman" w:cs="Times New Roman"/>
              </w:rPr>
              <w:fldChar w:fldCharType="end"/>
            </w:r>
          </w:p>
        </w:tc>
      </w:tr>
      <w:tr w:rsidR="00F6378D" w14:paraId="1879ABD7" w14:textId="77777777" w:rsidTr="00710DF8">
        <w:tc>
          <w:tcPr>
            <w:tcW w:w="2972" w:type="dxa"/>
          </w:tcPr>
          <w:p w14:paraId="2FF5240C" w14:textId="15644AED" w:rsidR="00F6378D" w:rsidRDefault="002F201D" w:rsidP="00F6378D">
            <w:pPr>
              <w:rPr>
                <w:rFonts w:ascii="Times New Roman" w:hAnsi="Times New Roman" w:cs="Times New Roman"/>
              </w:rPr>
            </w:pPr>
            <w:r>
              <w:rPr>
                <w:rFonts w:ascii="Times New Roman" w:hAnsi="Times New Roman" w:cs="Times New Roman"/>
              </w:rPr>
              <w:t>Cost of biopsy</w:t>
            </w:r>
          </w:p>
        </w:tc>
        <w:tc>
          <w:tcPr>
            <w:tcW w:w="3119" w:type="dxa"/>
          </w:tcPr>
          <w:p w14:paraId="6A749ABA" w14:textId="0D8366F5" w:rsidR="00F6378D" w:rsidRDefault="002F201D" w:rsidP="00F6378D">
            <w:pPr>
              <w:rPr>
                <w:rFonts w:ascii="Times New Roman" w:hAnsi="Times New Roman" w:cs="Times New Roman"/>
              </w:rPr>
            </w:pPr>
            <w:r>
              <w:rPr>
                <w:rFonts w:ascii="Times New Roman" w:hAnsi="Times New Roman" w:cs="Times New Roman"/>
              </w:rPr>
              <w:t>£290</w:t>
            </w:r>
          </w:p>
        </w:tc>
        <w:tc>
          <w:tcPr>
            <w:tcW w:w="8093" w:type="dxa"/>
          </w:tcPr>
          <w:p w14:paraId="1660BE85" w14:textId="05DD9276"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5AF6665A" w14:textId="77777777" w:rsidTr="00710DF8">
        <w:tc>
          <w:tcPr>
            <w:tcW w:w="2972" w:type="dxa"/>
          </w:tcPr>
          <w:p w14:paraId="0EC22170" w14:textId="230EBB0C" w:rsidR="00F6378D" w:rsidRDefault="002F201D" w:rsidP="00F6378D">
            <w:pPr>
              <w:rPr>
                <w:rFonts w:ascii="Times New Roman" w:hAnsi="Times New Roman" w:cs="Times New Roman"/>
              </w:rPr>
            </w:pPr>
            <w:r>
              <w:rPr>
                <w:rFonts w:ascii="Times New Roman" w:hAnsi="Times New Roman" w:cs="Times New Roman"/>
              </w:rPr>
              <w:t>Cost of ultrasound screening</w:t>
            </w:r>
          </w:p>
        </w:tc>
        <w:tc>
          <w:tcPr>
            <w:tcW w:w="3119" w:type="dxa"/>
          </w:tcPr>
          <w:p w14:paraId="4889805B" w14:textId="51A61CC7" w:rsidR="00F6378D" w:rsidRDefault="002F201D" w:rsidP="00F6378D">
            <w:pPr>
              <w:rPr>
                <w:rFonts w:ascii="Times New Roman" w:hAnsi="Times New Roman" w:cs="Times New Roman"/>
              </w:rPr>
            </w:pPr>
            <w:r>
              <w:rPr>
                <w:rFonts w:ascii="Times New Roman" w:hAnsi="Times New Roman" w:cs="Times New Roman"/>
              </w:rPr>
              <w:t>£52</w:t>
            </w:r>
          </w:p>
        </w:tc>
        <w:tc>
          <w:tcPr>
            <w:tcW w:w="8093" w:type="dxa"/>
          </w:tcPr>
          <w:p w14:paraId="5E0E0583" w14:textId="474B6647"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064C0C2E" w14:textId="77777777" w:rsidTr="00710DF8">
        <w:tc>
          <w:tcPr>
            <w:tcW w:w="2972" w:type="dxa"/>
          </w:tcPr>
          <w:p w14:paraId="39C17CE3" w14:textId="51CCBA2B" w:rsidR="00F6378D" w:rsidRDefault="002F201D" w:rsidP="00F6378D">
            <w:pPr>
              <w:rPr>
                <w:rFonts w:ascii="Times New Roman" w:hAnsi="Times New Roman" w:cs="Times New Roman"/>
              </w:rPr>
            </w:pPr>
            <w:r>
              <w:rPr>
                <w:rFonts w:ascii="Times New Roman" w:hAnsi="Times New Roman" w:cs="Times New Roman"/>
              </w:rPr>
              <w:t>Cost of MRI screening</w:t>
            </w:r>
          </w:p>
        </w:tc>
        <w:tc>
          <w:tcPr>
            <w:tcW w:w="3119" w:type="dxa"/>
          </w:tcPr>
          <w:p w14:paraId="4EE0E369" w14:textId="5C7CEF4A" w:rsidR="00F6378D" w:rsidRDefault="002F201D" w:rsidP="00F6378D">
            <w:pPr>
              <w:rPr>
                <w:rFonts w:ascii="Times New Roman" w:hAnsi="Times New Roman" w:cs="Times New Roman"/>
              </w:rPr>
            </w:pPr>
            <w:r>
              <w:rPr>
                <w:rFonts w:ascii="Times New Roman" w:hAnsi="Times New Roman" w:cs="Times New Roman"/>
              </w:rPr>
              <w:t>£114</w:t>
            </w:r>
          </w:p>
        </w:tc>
        <w:tc>
          <w:tcPr>
            <w:tcW w:w="8093" w:type="dxa"/>
          </w:tcPr>
          <w:p w14:paraId="24810FE8" w14:textId="376516C7"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453A3BA7" w14:textId="77777777" w:rsidTr="00710DF8">
        <w:tc>
          <w:tcPr>
            <w:tcW w:w="2972" w:type="dxa"/>
          </w:tcPr>
          <w:p w14:paraId="2E7BEC78" w14:textId="24D70A7D" w:rsidR="00F6378D" w:rsidRDefault="002F201D" w:rsidP="00F6378D">
            <w:pPr>
              <w:rPr>
                <w:rFonts w:ascii="Times New Roman" w:hAnsi="Times New Roman" w:cs="Times New Roman"/>
              </w:rPr>
            </w:pPr>
            <w:r>
              <w:rPr>
                <w:rFonts w:ascii="Times New Roman" w:hAnsi="Times New Roman" w:cs="Times New Roman"/>
              </w:rPr>
              <w:lastRenderedPageBreak/>
              <w:t>Cost of treating breast cancer by stage, age, and time lived with cancer</w:t>
            </w:r>
          </w:p>
        </w:tc>
        <w:tc>
          <w:tcPr>
            <w:tcW w:w="3119" w:type="dxa"/>
          </w:tcPr>
          <w:p w14:paraId="632B946E" w14:textId="65A8F885" w:rsidR="00F6378D" w:rsidRDefault="002F201D" w:rsidP="00F6378D">
            <w:pPr>
              <w:rPr>
                <w:rFonts w:ascii="Times New Roman" w:hAnsi="Times New Roman" w:cs="Times New Roman"/>
              </w:rPr>
            </w:pPr>
            <w:commentRangeStart w:id="4"/>
            <w:r>
              <w:rPr>
                <w:rFonts w:ascii="Times New Roman" w:hAnsi="Times New Roman" w:cs="Times New Roman"/>
              </w:rPr>
              <w:t>See supplementary appendix X</w:t>
            </w:r>
            <w:commentRangeEnd w:id="4"/>
            <w:r>
              <w:rPr>
                <w:rStyle w:val="CommentReference"/>
              </w:rPr>
              <w:commentReference w:id="4"/>
            </w:r>
          </w:p>
        </w:tc>
        <w:tc>
          <w:tcPr>
            <w:tcW w:w="8093" w:type="dxa"/>
          </w:tcPr>
          <w:p w14:paraId="44C5EAF8" w14:textId="3FA89ADE" w:rsidR="00F6378D" w:rsidRDefault="002F201D"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710DF8">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[14]</w:t>
            </w:r>
            <w:r>
              <w:rPr>
                <w:rFonts w:ascii="Times New Roman" w:hAnsi="Times New Roman" w:cs="Times New Roman"/>
              </w:rPr>
              <w:fldChar w:fldCharType="end"/>
            </w:r>
          </w:p>
          <w:p w14:paraId="1A7064F5" w14:textId="77777777" w:rsidR="002F201D" w:rsidRDefault="002F201D" w:rsidP="00F6378D">
            <w:pPr>
              <w:rPr>
                <w:rFonts w:ascii="Times New Roman" w:hAnsi="Times New Roman" w:cs="Times New Roman"/>
              </w:rPr>
            </w:pPr>
          </w:p>
          <w:p w14:paraId="19EA1BD3" w14:textId="5178B605" w:rsidR="002F201D" w:rsidRDefault="002F201D" w:rsidP="002F201D">
            <w:pPr>
              <w:rPr>
                <w:rFonts w:ascii="Times New Roman" w:hAnsi="Times New Roman" w:cs="Times New Roman"/>
              </w:rPr>
            </w:pPr>
            <w:r>
              <w:rPr>
                <w:rFonts w:ascii="Times New Roman" w:hAnsi="Times New Roman" w:cs="Times New Roman"/>
              </w:rPr>
              <w:t xml:space="preserve">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2022 levels. </w:t>
            </w:r>
            <w:r w:rsidR="00710DF8">
              <w:rPr>
                <w:rFonts w:ascii="Times New Roman" w:hAnsi="Times New Roman" w:cs="Times New Roman"/>
              </w:rPr>
              <w:t>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710DF8" w14:paraId="78DEDC44" w14:textId="77777777" w:rsidTr="00710DF8">
        <w:tc>
          <w:tcPr>
            <w:tcW w:w="2972" w:type="dxa"/>
          </w:tcPr>
          <w:p w14:paraId="60D491EB" w14:textId="35866C71" w:rsidR="00710DF8" w:rsidRDefault="00710DF8" w:rsidP="00F6378D">
            <w:pPr>
              <w:rPr>
                <w:rFonts w:ascii="Times New Roman" w:hAnsi="Times New Roman" w:cs="Times New Roman"/>
              </w:rPr>
            </w:pPr>
            <w:r>
              <w:rPr>
                <w:rFonts w:ascii="Times New Roman" w:hAnsi="Times New Roman" w:cs="Times New Roman"/>
              </w:rPr>
              <w:t>Cost of treating a ductal carcinoma in-situ</w:t>
            </w:r>
          </w:p>
        </w:tc>
        <w:tc>
          <w:tcPr>
            <w:tcW w:w="3119" w:type="dxa"/>
          </w:tcPr>
          <w:p w14:paraId="55EEC328" w14:textId="78691446" w:rsidR="00710DF8" w:rsidRDefault="00710DF8" w:rsidP="00F6378D">
            <w:pPr>
              <w:rPr>
                <w:rFonts w:ascii="Times New Roman" w:hAnsi="Times New Roman" w:cs="Times New Roman"/>
              </w:rPr>
            </w:pPr>
            <w:r>
              <w:rPr>
                <w:rFonts w:ascii="Times New Roman" w:hAnsi="Times New Roman" w:cs="Times New Roman"/>
              </w:rPr>
              <w:t>£9,480.15</w:t>
            </w:r>
          </w:p>
        </w:tc>
        <w:tc>
          <w:tcPr>
            <w:tcW w:w="8093" w:type="dxa"/>
          </w:tcPr>
          <w:p w14:paraId="43C1B238" w14:textId="631A006F" w:rsidR="00710DF8" w:rsidRDefault="00710DF8"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F6378D">
              <w:rPr>
                <w:rFonts w:ascii="Times New Roman" w:hAnsi="Times New Roman" w:cs="Times New Roman"/>
                <w:noProof/>
              </w:rPr>
              <w:t>[10]</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2972"/>
        <w:gridCol w:w="3119"/>
        <w:gridCol w:w="7857"/>
      </w:tblGrid>
      <w:tr w:rsidR="00710DF8" w14:paraId="41420E2B" w14:textId="77777777" w:rsidTr="00710DF8">
        <w:tc>
          <w:tcPr>
            <w:tcW w:w="2972" w:type="dxa"/>
          </w:tcPr>
          <w:p w14:paraId="59D1260C" w14:textId="35C02BBB" w:rsidR="00710DF8" w:rsidRDefault="00710DF8" w:rsidP="00710DF8">
            <w:pPr>
              <w:rPr>
                <w:rFonts w:ascii="Times New Roman" w:hAnsi="Times New Roman" w:cs="Times New Roman"/>
              </w:rPr>
            </w:pPr>
            <w:r w:rsidRPr="00567F2C">
              <w:rPr>
                <w:rFonts w:ascii="Times New Roman" w:hAnsi="Times New Roman" w:cs="Times New Roman"/>
                <w:b/>
              </w:rPr>
              <w:t>Parameter</w:t>
            </w:r>
          </w:p>
        </w:tc>
        <w:tc>
          <w:tcPr>
            <w:tcW w:w="3119" w:type="dxa"/>
          </w:tcPr>
          <w:p w14:paraId="47AD7566" w14:textId="285A7BC7" w:rsidR="00710DF8" w:rsidRDefault="00710DF8" w:rsidP="00710DF8">
            <w:pPr>
              <w:rPr>
                <w:rFonts w:ascii="Times New Roman" w:hAnsi="Times New Roman" w:cs="Times New Roman"/>
              </w:rPr>
            </w:pPr>
            <w:r w:rsidRPr="00567F2C">
              <w:rPr>
                <w:rFonts w:ascii="Times New Roman" w:hAnsi="Times New Roman" w:cs="Times New Roman"/>
                <w:b/>
              </w:rPr>
              <w:t>Value</w:t>
            </w:r>
          </w:p>
        </w:tc>
        <w:tc>
          <w:tcPr>
            <w:tcW w:w="7857" w:type="dxa"/>
          </w:tcPr>
          <w:p w14:paraId="647D9821" w14:textId="324B48C7" w:rsidR="00710DF8" w:rsidRDefault="00710DF8" w:rsidP="00710DF8">
            <w:pPr>
              <w:rPr>
                <w:rFonts w:ascii="Times New Roman" w:hAnsi="Times New Roman" w:cs="Times New Roman"/>
              </w:rPr>
            </w:pPr>
            <w:r w:rsidRPr="00567F2C">
              <w:rPr>
                <w:rFonts w:ascii="Times New Roman" w:hAnsi="Times New Roman" w:cs="Times New Roman"/>
                <w:b/>
              </w:rPr>
              <w:t>Sources and Assumptions</w:t>
            </w:r>
          </w:p>
        </w:tc>
      </w:tr>
      <w:tr w:rsidR="00710DF8" w14:paraId="4DF7D3B2" w14:textId="77777777" w:rsidTr="00710DF8">
        <w:tc>
          <w:tcPr>
            <w:tcW w:w="2972" w:type="dxa"/>
          </w:tcPr>
          <w:p w14:paraId="1E265BD8" w14:textId="6830EB68" w:rsidR="00710DF8" w:rsidRDefault="00710DF8" w:rsidP="00710DF8">
            <w:pPr>
              <w:rPr>
                <w:rFonts w:ascii="Times New Roman" w:hAnsi="Times New Roman" w:cs="Times New Roman"/>
              </w:rPr>
            </w:pPr>
            <w:r>
              <w:rPr>
                <w:rFonts w:ascii="Times New Roman" w:hAnsi="Times New Roman" w:cs="Times New Roman"/>
              </w:rPr>
              <w:t>Age-related utility values for healthy individuals</w:t>
            </w:r>
          </w:p>
        </w:tc>
        <w:tc>
          <w:tcPr>
            <w:tcW w:w="3119" w:type="dxa"/>
          </w:tcPr>
          <w:p w14:paraId="0EF7A2F6" w14:textId="4A2A90A8" w:rsidR="00710DF8" w:rsidRDefault="00710DF8" w:rsidP="00710DF8">
            <w:pPr>
              <w:rPr>
                <w:rFonts w:ascii="Times New Roman" w:hAnsi="Times New Roman" w:cs="Times New Roman"/>
              </w:rPr>
            </w:pPr>
            <w:r>
              <w:rPr>
                <w:rFonts w:ascii="Times New Roman" w:hAnsi="Times New Roman" w:cs="Times New Roman"/>
              </w:rPr>
              <w:t>30=0.938</w:t>
            </w:r>
          </w:p>
          <w:p w14:paraId="233180CF" w14:textId="24158EE7" w:rsidR="00710DF8" w:rsidRDefault="00710DF8" w:rsidP="00710DF8">
            <w:pPr>
              <w:rPr>
                <w:rFonts w:ascii="Times New Roman" w:hAnsi="Times New Roman" w:cs="Times New Roman"/>
              </w:rPr>
            </w:pPr>
            <w:r>
              <w:rPr>
                <w:rFonts w:ascii="Times New Roman" w:hAnsi="Times New Roman" w:cs="Times New Roman"/>
              </w:rPr>
              <w:t>35=0.915</w:t>
            </w:r>
          </w:p>
          <w:p w14:paraId="19D23883" w14:textId="48EFF492" w:rsidR="00710DF8" w:rsidRDefault="00710DF8" w:rsidP="00710DF8">
            <w:pPr>
              <w:rPr>
                <w:rFonts w:ascii="Times New Roman" w:hAnsi="Times New Roman" w:cs="Times New Roman"/>
              </w:rPr>
            </w:pPr>
            <w:r>
              <w:rPr>
                <w:rFonts w:ascii="Times New Roman" w:hAnsi="Times New Roman" w:cs="Times New Roman"/>
              </w:rPr>
              <w:t>40=0.907</w:t>
            </w:r>
          </w:p>
          <w:p w14:paraId="4C05F5FC" w14:textId="2890FDDF" w:rsidR="00710DF8" w:rsidRDefault="00710DF8" w:rsidP="00710DF8">
            <w:pPr>
              <w:rPr>
                <w:rFonts w:ascii="Times New Roman" w:hAnsi="Times New Roman" w:cs="Times New Roman"/>
              </w:rPr>
            </w:pPr>
            <w:r>
              <w:rPr>
                <w:rFonts w:ascii="Times New Roman" w:hAnsi="Times New Roman" w:cs="Times New Roman"/>
              </w:rPr>
              <w:t>45=0.882</w:t>
            </w:r>
          </w:p>
          <w:p w14:paraId="2EC7B945" w14:textId="30CB5A95" w:rsidR="00710DF8" w:rsidRDefault="00710DF8" w:rsidP="00710DF8">
            <w:pPr>
              <w:rPr>
                <w:rFonts w:ascii="Times New Roman" w:hAnsi="Times New Roman" w:cs="Times New Roman"/>
              </w:rPr>
            </w:pPr>
            <w:r>
              <w:rPr>
                <w:rFonts w:ascii="Times New Roman" w:hAnsi="Times New Roman" w:cs="Times New Roman"/>
              </w:rPr>
              <w:t>50=0.864</w:t>
            </w:r>
          </w:p>
          <w:p w14:paraId="5546CE76" w14:textId="6BC68448" w:rsidR="00710DF8" w:rsidRDefault="00710DF8" w:rsidP="00710DF8">
            <w:pPr>
              <w:rPr>
                <w:rFonts w:ascii="Times New Roman" w:hAnsi="Times New Roman" w:cs="Times New Roman"/>
              </w:rPr>
            </w:pPr>
            <w:r>
              <w:rPr>
                <w:rFonts w:ascii="Times New Roman" w:hAnsi="Times New Roman" w:cs="Times New Roman"/>
              </w:rPr>
              <w:t>55=0.834</w:t>
            </w:r>
          </w:p>
          <w:p w14:paraId="792C4251" w14:textId="6696BEFB" w:rsidR="00710DF8" w:rsidRDefault="00710DF8" w:rsidP="00710DF8">
            <w:pPr>
              <w:rPr>
                <w:rFonts w:ascii="Times New Roman" w:hAnsi="Times New Roman" w:cs="Times New Roman"/>
              </w:rPr>
            </w:pPr>
            <w:r>
              <w:rPr>
                <w:rFonts w:ascii="Times New Roman" w:hAnsi="Times New Roman" w:cs="Times New Roman"/>
              </w:rPr>
              <w:t>60=0.822</w:t>
            </w:r>
          </w:p>
          <w:p w14:paraId="0769BA88" w14:textId="16AC3A01" w:rsidR="00710DF8" w:rsidRDefault="00710DF8" w:rsidP="00710DF8">
            <w:pPr>
              <w:rPr>
                <w:rFonts w:ascii="Times New Roman" w:hAnsi="Times New Roman" w:cs="Times New Roman"/>
              </w:rPr>
            </w:pPr>
            <w:r>
              <w:rPr>
                <w:rFonts w:ascii="Times New Roman" w:hAnsi="Times New Roman" w:cs="Times New Roman"/>
              </w:rPr>
              <w:t>65=0.807</w:t>
            </w:r>
          </w:p>
          <w:p w14:paraId="0A5F88A3" w14:textId="2146FDFC" w:rsidR="00710DF8" w:rsidRDefault="00710DF8" w:rsidP="00710DF8">
            <w:pPr>
              <w:rPr>
                <w:rFonts w:ascii="Times New Roman" w:hAnsi="Times New Roman" w:cs="Times New Roman"/>
              </w:rPr>
            </w:pPr>
            <w:r>
              <w:rPr>
                <w:rFonts w:ascii="Times New Roman" w:hAnsi="Times New Roman" w:cs="Times New Roman"/>
              </w:rPr>
              <w:t>70=0.804</w:t>
            </w:r>
          </w:p>
          <w:p w14:paraId="4DC44C2E" w14:textId="68F08C82" w:rsidR="00710DF8" w:rsidRDefault="00710DF8" w:rsidP="00710DF8">
            <w:pPr>
              <w:rPr>
                <w:rFonts w:ascii="Times New Roman" w:hAnsi="Times New Roman" w:cs="Times New Roman"/>
              </w:rPr>
            </w:pPr>
            <w:r>
              <w:rPr>
                <w:rFonts w:ascii="Times New Roman" w:hAnsi="Times New Roman" w:cs="Times New Roman"/>
              </w:rPr>
              <w:t>75=0.779</w:t>
            </w:r>
          </w:p>
          <w:p w14:paraId="34E493E5" w14:textId="47D00873" w:rsidR="00710DF8" w:rsidRDefault="00710DF8" w:rsidP="00710DF8">
            <w:pPr>
              <w:rPr>
                <w:rFonts w:ascii="Times New Roman" w:hAnsi="Times New Roman" w:cs="Times New Roman"/>
              </w:rPr>
            </w:pPr>
            <w:r>
              <w:rPr>
                <w:rFonts w:ascii="Times New Roman" w:hAnsi="Times New Roman" w:cs="Times New Roman"/>
              </w:rPr>
              <w:t>80=0.753</w:t>
            </w:r>
          </w:p>
          <w:p w14:paraId="60768B40" w14:textId="4FCCFF63" w:rsidR="00710DF8" w:rsidRDefault="00710DF8" w:rsidP="00710DF8">
            <w:pPr>
              <w:rPr>
                <w:rFonts w:ascii="Times New Roman" w:hAnsi="Times New Roman" w:cs="Times New Roman"/>
              </w:rPr>
            </w:pPr>
            <w:r>
              <w:rPr>
                <w:rFonts w:ascii="Times New Roman" w:hAnsi="Times New Roman" w:cs="Times New Roman"/>
              </w:rPr>
              <w:t>85=0.699</w:t>
            </w:r>
          </w:p>
          <w:p w14:paraId="1DA39D95" w14:textId="1ADF3C8C" w:rsidR="00710DF8" w:rsidRDefault="00710DF8" w:rsidP="00710DF8">
            <w:pPr>
              <w:rPr>
                <w:rFonts w:ascii="Times New Roman" w:hAnsi="Times New Roman" w:cs="Times New Roman"/>
              </w:rPr>
            </w:pPr>
            <w:r>
              <w:rPr>
                <w:rFonts w:ascii="Times New Roman" w:hAnsi="Times New Roman" w:cs="Times New Roman"/>
              </w:rPr>
              <w:t>90=0.650</w:t>
            </w:r>
          </w:p>
          <w:p w14:paraId="04E3B7AF" w14:textId="702FF219" w:rsidR="00710DF8" w:rsidRDefault="00710DF8" w:rsidP="00710DF8">
            <w:pPr>
              <w:rPr>
                <w:rFonts w:ascii="Times New Roman" w:hAnsi="Times New Roman" w:cs="Times New Roman"/>
              </w:rPr>
            </w:pPr>
            <w:r>
              <w:rPr>
                <w:rFonts w:ascii="Times New Roman" w:hAnsi="Times New Roman" w:cs="Times New Roman"/>
              </w:rPr>
              <w:t>95=0.650</w:t>
            </w:r>
          </w:p>
          <w:p w14:paraId="409E273D" w14:textId="468893EA" w:rsidR="00710DF8" w:rsidRDefault="00710DF8" w:rsidP="00710DF8">
            <w:pPr>
              <w:rPr>
                <w:rFonts w:ascii="Times New Roman" w:hAnsi="Times New Roman" w:cs="Times New Roman"/>
              </w:rPr>
            </w:pPr>
            <w:r>
              <w:rPr>
                <w:rFonts w:ascii="Times New Roman" w:hAnsi="Times New Roman" w:cs="Times New Roman"/>
              </w:rPr>
              <w:t>100=0.650</w:t>
            </w:r>
          </w:p>
        </w:tc>
        <w:tc>
          <w:tcPr>
            <w:tcW w:w="7857" w:type="dxa"/>
          </w:tcPr>
          <w:p w14:paraId="0E542ABA" w14:textId="775163AA" w:rsidR="00710DF8" w:rsidRDefault="00710DF8" w:rsidP="00710DF8">
            <w:pPr>
              <w:rPr>
                <w:rFonts w:ascii="Times New Roman" w:hAnsi="Times New Roman" w:cs="Times New Roman"/>
              </w:rPr>
            </w:pPr>
            <w:r>
              <w:rPr>
                <w:rFonts w:ascii="Times New Roman" w:hAnsi="Times New Roman" w:cs="Times New Roman"/>
              </w:rPr>
              <w:t xml:space="preserve">Ara and Brazier (2011)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2010.10.029","ISSN":"10983015","author":[{"dropping-particle":"","family":"Ara","given":"Roberta","non-dropping-particle":"","parse-names":false,"suffix":""},{"dropping-particle":"","family":"Brazier","given":"John E.","non-dropping-particle":"","parse-names":false,"suffix":""}],"container-title":"Value in Health","id":"ITEM-1","issue":"4","issued":{"date-parts":[["2011"]]},"page":"539-545","publisher":"Elsevier Inc.","title":"Using Health State Utility Values from the General Population to Approximate Baselines in Decision Analytic Models when Condition-Specific Data are Not Available","type":"article-journal","volume":"14"},"uris":["http://www.mendeley.com/documents/?uuid=ad67f3ea-6621-440d-8bbc-20b0813b67ac"]}],"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[15]</w:t>
            </w:r>
            <w:r>
              <w:rPr>
                <w:rFonts w:ascii="Times New Roman" w:hAnsi="Times New Roman" w:cs="Times New Roman"/>
              </w:rPr>
              <w:fldChar w:fldCharType="end"/>
            </w:r>
          </w:p>
        </w:tc>
      </w:tr>
      <w:tr w:rsidR="00710DF8" w14:paraId="4E91ED01" w14:textId="77777777" w:rsidTr="00710DF8">
        <w:tc>
          <w:tcPr>
            <w:tcW w:w="2972" w:type="dxa"/>
          </w:tcPr>
          <w:p w14:paraId="3781415C" w14:textId="5865FF7B" w:rsidR="00710DF8" w:rsidRPr="00710DF8" w:rsidRDefault="00710DF8"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3119" w:type="dxa"/>
          </w:tcPr>
          <w:p w14:paraId="74B53D43" w14:textId="0E90EC37"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7B36E169" w14:textId="03EA69D5" w:rsidR="00710DF8" w:rsidRDefault="00710DF8" w:rsidP="00710DF8">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DA711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5A94BDCF" w14:textId="77777777" w:rsidR="00710DF8" w:rsidRDefault="00710DF8" w:rsidP="00710DF8">
            <w:pPr>
              <w:rPr>
                <w:rFonts w:ascii="Times New Roman" w:hAnsi="Times New Roman" w:cs="Times New Roman"/>
              </w:rPr>
            </w:pPr>
          </w:p>
          <w:p w14:paraId="2A4D9CAB" w14:textId="77777777" w:rsidR="00DA7113" w:rsidRDefault="00DA7113"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DA7113" w:rsidRDefault="00DA7113" w:rsidP="00DA7113">
            <w:pPr>
              <w:rPr>
                <w:rFonts w:ascii="Times New Roman" w:hAnsi="Times New Roman" w:cs="Times New Roman"/>
              </w:rPr>
            </w:pPr>
          </w:p>
          <w:p w14:paraId="67FC212F" w14:textId="6CA463CF" w:rsidR="00710DF8" w:rsidRDefault="00DA7113"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710DF8" w14:paraId="6E8F6759" w14:textId="77777777" w:rsidTr="00710DF8">
        <w:tc>
          <w:tcPr>
            <w:tcW w:w="2972" w:type="dxa"/>
          </w:tcPr>
          <w:p w14:paraId="4F3E0C8A" w14:textId="3E917AC6" w:rsidR="00710DF8" w:rsidRPr="00710DF8" w:rsidRDefault="00710DF8" w:rsidP="00710DF8">
            <w:pPr>
              <w:rPr>
                <w:rFonts w:ascii="Times New Roman" w:hAnsi="Times New Roman" w:cs="Times New Roman"/>
              </w:rPr>
            </w:pPr>
            <w:r w:rsidRPr="00710DF8">
              <w:rPr>
                <w:rFonts w:ascii="Times New Roman" w:hAnsi="Times New Roman" w:cs="Times New Roman"/>
              </w:rPr>
              <w:lastRenderedPageBreak/>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1A73E76C" w14:textId="04C2E411"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62FEBADF" w14:textId="77777777" w:rsidR="00DA7113" w:rsidRDefault="00DA7113"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6153EA08" w14:textId="77777777" w:rsidR="00DA7113" w:rsidRDefault="00DA7113" w:rsidP="00DA7113">
            <w:pPr>
              <w:rPr>
                <w:rFonts w:ascii="Times New Roman" w:hAnsi="Times New Roman" w:cs="Times New Roman"/>
              </w:rPr>
            </w:pPr>
          </w:p>
          <w:p w14:paraId="6B4619C2"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DA7113" w:rsidRDefault="00DA7113" w:rsidP="00DA7113">
            <w:pPr>
              <w:rPr>
                <w:rFonts w:ascii="Times New Roman" w:hAnsi="Times New Roman" w:cs="Times New Roman"/>
              </w:rPr>
            </w:pPr>
          </w:p>
          <w:p w14:paraId="6B81D32D" w14:textId="56A8F1D7"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5608DCC2" w14:textId="77777777" w:rsidTr="00710DF8">
        <w:tc>
          <w:tcPr>
            <w:tcW w:w="2972" w:type="dxa"/>
          </w:tcPr>
          <w:p w14:paraId="0E7CA0DE" w14:textId="15238FB3"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3119" w:type="dxa"/>
          </w:tcPr>
          <w:p w14:paraId="5E342EE7" w14:textId="4DBE85AE"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2A52AB16" w14:textId="77777777" w:rsidR="00DA7113" w:rsidRDefault="00DA7113"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407A26A3" w14:textId="77777777" w:rsidR="00DA7113" w:rsidRDefault="00DA7113" w:rsidP="00DA7113">
            <w:pPr>
              <w:rPr>
                <w:rFonts w:ascii="Times New Roman" w:hAnsi="Times New Roman" w:cs="Times New Roman"/>
              </w:rPr>
            </w:pPr>
          </w:p>
          <w:p w14:paraId="2929052C"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DA7113" w:rsidRDefault="00DA7113" w:rsidP="00DA7113">
            <w:pPr>
              <w:rPr>
                <w:rFonts w:ascii="Times New Roman" w:hAnsi="Times New Roman" w:cs="Times New Roman"/>
              </w:rPr>
            </w:pPr>
          </w:p>
          <w:p w14:paraId="12F82DFC" w14:textId="24C3BA0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63C79279" w14:textId="77777777" w:rsidTr="00710DF8">
        <w:tc>
          <w:tcPr>
            <w:tcW w:w="2972" w:type="dxa"/>
          </w:tcPr>
          <w:p w14:paraId="2D09F1DE" w14:textId="64A4C9AC" w:rsidR="00710DF8" w:rsidRPr="00710DF8" w:rsidRDefault="00710DF8" w:rsidP="00710DF8">
            <w:pPr>
              <w:rPr>
                <w:rFonts w:ascii="Times New Roman" w:hAnsi="Times New Roman" w:cs="Times New Roman"/>
              </w:rPr>
            </w:pPr>
            <w:r w:rsidRPr="00710DF8">
              <w:rPr>
                <w:rFonts w:ascii="Times New Roman" w:hAnsi="Times New Roman" w:cs="Times New Roman"/>
              </w:rPr>
              <w:lastRenderedPageBreak/>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7190A0FF" w14:textId="4A5466C6"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03C529E4" w14:textId="77777777" w:rsidR="00DA7113" w:rsidRDefault="00DA7113"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3DE4C6E7" w14:textId="77777777" w:rsidR="00DA7113" w:rsidRDefault="00DA7113" w:rsidP="00DA7113">
            <w:pPr>
              <w:rPr>
                <w:rFonts w:ascii="Times New Roman" w:hAnsi="Times New Roman" w:cs="Times New Roman"/>
              </w:rPr>
            </w:pPr>
          </w:p>
          <w:p w14:paraId="0CAF52CE"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3D0855DE" w14:textId="77777777" w:rsidR="00DA7113" w:rsidRDefault="00DA7113" w:rsidP="00DA7113">
            <w:pPr>
              <w:rPr>
                <w:rFonts w:ascii="Times New Roman" w:hAnsi="Times New Roman" w:cs="Times New Roman"/>
              </w:rPr>
            </w:pPr>
          </w:p>
          <w:p w14:paraId="547D3E30" w14:textId="03D305D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t xml:space="preserve">Table 4: </w:t>
      </w:r>
      <w:r w:rsidRPr="007760FE">
        <w:rPr>
          <w:rFonts w:ascii="Times New Roman" w:hAnsi="Times New Roman" w:cs="Times New Roman"/>
          <w:lang w:eastAsia="ja-JP"/>
        </w:rPr>
        <w:t>Input parameters with sampling distributions and hyperparameters used in PSA</w:t>
      </w:r>
    </w:p>
    <w:tbl>
      <w:tblPr>
        <w:tblStyle w:val="TableGrid"/>
        <w:tblW w:w="0" w:type="auto"/>
        <w:tblLook w:val="04A0" w:firstRow="1" w:lastRow="0" w:firstColumn="1" w:lastColumn="0" w:noHBand="0" w:noVBand="1"/>
      </w:tblPr>
      <w:tblGrid>
        <w:gridCol w:w="2660"/>
        <w:gridCol w:w="2551"/>
        <w:gridCol w:w="1985"/>
        <w:gridCol w:w="2046"/>
      </w:tblGrid>
      <w:tr w:rsidR="007760FE" w14:paraId="28DC7F34" w14:textId="77777777" w:rsidTr="00BC63BB">
        <w:tc>
          <w:tcPr>
            <w:tcW w:w="2660" w:type="dxa"/>
          </w:tcPr>
          <w:p w14:paraId="3AA8967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Parameter</w:t>
            </w:r>
          </w:p>
        </w:tc>
        <w:tc>
          <w:tcPr>
            <w:tcW w:w="2551" w:type="dxa"/>
          </w:tcPr>
          <w:p w14:paraId="70A1459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Distribution</w:t>
            </w:r>
          </w:p>
        </w:tc>
        <w:tc>
          <w:tcPr>
            <w:tcW w:w="1985" w:type="dxa"/>
          </w:tcPr>
          <w:p w14:paraId="75F6D2E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Hyperparameter 1</w:t>
            </w:r>
          </w:p>
        </w:tc>
        <w:tc>
          <w:tcPr>
            <w:tcW w:w="2046" w:type="dxa"/>
          </w:tcPr>
          <w:p w14:paraId="19067C55"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Hyperparameter 2</w:t>
            </w:r>
          </w:p>
        </w:tc>
      </w:tr>
      <w:tr w:rsidR="007760FE" w14:paraId="6F1E6A03" w14:textId="77777777" w:rsidTr="00BC63BB">
        <w:tc>
          <w:tcPr>
            <w:tcW w:w="5211" w:type="dxa"/>
            <w:gridSpan w:val="2"/>
          </w:tcPr>
          <w:p w14:paraId="2E08BBD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Mammographic Sensitvity</w:t>
            </w:r>
          </w:p>
        </w:tc>
        <w:tc>
          <w:tcPr>
            <w:tcW w:w="1985" w:type="dxa"/>
          </w:tcPr>
          <w:p w14:paraId="201A172C"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2BACD911" w14:textId="77777777" w:rsidTr="00BC63BB">
        <w:tc>
          <w:tcPr>
            <w:tcW w:w="2660" w:type="dxa"/>
          </w:tcPr>
          <w:p w14:paraId="7CD5D7B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w:t>
            </w:r>
          </w:p>
        </w:tc>
      </w:tr>
      <w:tr w:rsidR="007760FE" w14:paraId="589FCF6F" w14:textId="77777777" w:rsidTr="00BC63BB">
        <w:tc>
          <w:tcPr>
            <w:tcW w:w="2660" w:type="dxa"/>
          </w:tcPr>
          <w:p w14:paraId="2110339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0.5</w:t>
            </w:r>
          </w:p>
        </w:tc>
      </w:tr>
      <w:tr w:rsidR="007760FE" w14:paraId="7F8263F4" w14:textId="77777777" w:rsidTr="00BC63BB">
        <w:tc>
          <w:tcPr>
            <w:tcW w:w="5211" w:type="dxa"/>
            <w:gridSpan w:val="2"/>
          </w:tcPr>
          <w:p w14:paraId="05E5A7F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4B598173" w14:textId="77777777" w:rsidTr="00BC63BB">
        <w:tc>
          <w:tcPr>
            <w:tcW w:w="2660" w:type="dxa"/>
          </w:tcPr>
          <w:p w14:paraId="48417290"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1</w:t>
            </w:r>
          </w:p>
        </w:tc>
        <w:tc>
          <w:tcPr>
            <w:tcW w:w="2551" w:type="dxa"/>
          </w:tcPr>
          <w:p w14:paraId="11D4DFF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7B97C5E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96</w:t>
            </w:r>
          </w:p>
        </w:tc>
        <w:tc>
          <w:tcPr>
            <w:tcW w:w="2046" w:type="dxa"/>
          </w:tcPr>
          <w:p w14:paraId="4E3B1320" w14:textId="5D3DF2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16</w:t>
            </w:r>
          </w:p>
        </w:tc>
      </w:tr>
      <w:tr w:rsidR="007760FE" w14:paraId="7F93F7EC" w14:textId="77777777" w:rsidTr="00BC63BB">
        <w:tc>
          <w:tcPr>
            <w:tcW w:w="2660" w:type="dxa"/>
          </w:tcPr>
          <w:p w14:paraId="43C7F5E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25D94A8A"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298</w:t>
            </w:r>
          </w:p>
        </w:tc>
        <w:tc>
          <w:tcPr>
            <w:tcW w:w="2046" w:type="dxa"/>
          </w:tcPr>
          <w:p w14:paraId="4FF8319B" w14:textId="089AE42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86</w:t>
            </w:r>
          </w:p>
        </w:tc>
      </w:tr>
      <w:tr w:rsidR="007760FE" w14:paraId="40776126" w14:textId="77777777" w:rsidTr="00BC63BB">
        <w:tc>
          <w:tcPr>
            <w:tcW w:w="2660" w:type="dxa"/>
          </w:tcPr>
          <w:p w14:paraId="6A9B192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0CC94A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212</w:t>
            </w:r>
          </w:p>
        </w:tc>
        <w:tc>
          <w:tcPr>
            <w:tcW w:w="2046" w:type="dxa"/>
          </w:tcPr>
          <w:p w14:paraId="4AF1FCAD" w14:textId="602A7DE2"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93</w:t>
            </w:r>
          </w:p>
        </w:tc>
      </w:tr>
      <w:tr w:rsidR="007760FE" w14:paraId="254532E3" w14:textId="77777777" w:rsidTr="00BC63BB">
        <w:tc>
          <w:tcPr>
            <w:tcW w:w="2660" w:type="dxa"/>
          </w:tcPr>
          <w:p w14:paraId="3ED6C2A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4FBA3888"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61</w:t>
            </w:r>
          </w:p>
        </w:tc>
        <w:tc>
          <w:tcPr>
            <w:tcW w:w="2046" w:type="dxa"/>
          </w:tcPr>
          <w:p w14:paraId="7145FE99" w14:textId="26D95C0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39</w:t>
            </w:r>
          </w:p>
        </w:tc>
      </w:tr>
      <w:tr w:rsidR="007760FE" w14:paraId="4F0BAC92" w14:textId="77777777" w:rsidTr="00BC63BB">
        <w:tc>
          <w:tcPr>
            <w:tcW w:w="5211" w:type="dxa"/>
            <w:gridSpan w:val="2"/>
          </w:tcPr>
          <w:p w14:paraId="6ABDF95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279E742A" w14:textId="77777777" w:rsidTr="00BC63BB">
        <w:tc>
          <w:tcPr>
            <w:tcW w:w="2660" w:type="dxa"/>
          </w:tcPr>
          <w:p w14:paraId="0DE8369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11927</w:t>
            </w:r>
          </w:p>
        </w:tc>
      </w:tr>
      <w:tr w:rsidR="007760FE" w14:paraId="2BBBC94F" w14:textId="77777777" w:rsidTr="00BC63BB">
        <w:tc>
          <w:tcPr>
            <w:tcW w:w="2660" w:type="dxa"/>
          </w:tcPr>
          <w:p w14:paraId="04DB3A1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19799.5</w:t>
            </w:r>
          </w:p>
        </w:tc>
      </w:tr>
      <w:tr w:rsidR="007760FE" w14:paraId="44B31ECD" w14:textId="77777777" w:rsidTr="00BC63BB">
        <w:tc>
          <w:tcPr>
            <w:tcW w:w="2660" w:type="dxa"/>
          </w:tcPr>
          <w:p w14:paraId="5E26B7DC" w14:textId="77777777" w:rsidR="007760FE" w:rsidRPr="007760FE" w:rsidRDefault="007760FE" w:rsidP="00BC63BB">
            <w:pPr>
              <w:rPr>
                <w:rFonts w:ascii="Times New Roman" w:hAnsi="Times New Roman" w:cs="Times New Roman"/>
                <w:lang w:eastAsia="ja-JP"/>
              </w:rPr>
            </w:pPr>
          </w:p>
        </w:tc>
        <w:tc>
          <w:tcPr>
            <w:tcW w:w="2551" w:type="dxa"/>
          </w:tcPr>
          <w:p w14:paraId="0E685CCD" w14:textId="77777777" w:rsidR="007760FE" w:rsidRPr="007760FE" w:rsidRDefault="007760FE" w:rsidP="00BC63BB">
            <w:pPr>
              <w:rPr>
                <w:rFonts w:ascii="Times New Roman" w:hAnsi="Times New Roman" w:cs="Times New Roman"/>
                <w:lang w:eastAsia="ja-JP"/>
              </w:rPr>
            </w:pPr>
          </w:p>
        </w:tc>
        <w:tc>
          <w:tcPr>
            <w:tcW w:w="1985" w:type="dxa"/>
          </w:tcPr>
          <w:p w14:paraId="54BCCAD6" w14:textId="77777777" w:rsidR="007760FE" w:rsidRPr="007760FE" w:rsidRDefault="007760FE" w:rsidP="00BC63BB">
            <w:pPr>
              <w:rPr>
                <w:rFonts w:ascii="Times New Roman" w:hAnsi="Times New Roman" w:cs="Times New Roman"/>
                <w:lang w:eastAsia="ja-JP"/>
              </w:rPr>
            </w:pPr>
          </w:p>
        </w:tc>
        <w:tc>
          <w:tcPr>
            <w:tcW w:w="2046" w:type="dxa"/>
          </w:tcPr>
          <w:p w14:paraId="69BE4D94" w14:textId="77777777" w:rsidR="007760FE" w:rsidRPr="007760FE" w:rsidRDefault="007760FE" w:rsidP="00BC63BB">
            <w:pPr>
              <w:rPr>
                <w:rFonts w:ascii="Times New Roman" w:hAnsi="Times New Roman" w:cs="Times New Roman"/>
                <w:lang w:eastAsia="ja-JP"/>
              </w:rPr>
            </w:pPr>
          </w:p>
        </w:tc>
      </w:tr>
      <w:tr w:rsidR="007760FE" w14:paraId="13C933F3" w14:textId="77777777" w:rsidTr="00BC63BB">
        <w:tc>
          <w:tcPr>
            <w:tcW w:w="5211" w:type="dxa"/>
            <w:gridSpan w:val="2"/>
          </w:tcPr>
          <w:p w14:paraId="26B177D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6F8F1AC6" w14:textId="77777777" w:rsidTr="00BC63BB">
        <w:tc>
          <w:tcPr>
            <w:tcW w:w="2660" w:type="dxa"/>
          </w:tcPr>
          <w:p w14:paraId="28DAB756" w14:textId="77777777" w:rsidR="007760FE" w:rsidRPr="007760FE" w:rsidRDefault="00F35740"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0.09</w:t>
            </w:r>
          </w:p>
        </w:tc>
      </w:tr>
      <w:tr w:rsidR="007760FE" w14:paraId="579F5C21" w14:textId="77777777" w:rsidTr="00BC63BB">
        <w:tc>
          <w:tcPr>
            <w:tcW w:w="2660" w:type="dxa"/>
          </w:tcPr>
          <w:p w14:paraId="6003088D" w14:textId="77777777" w:rsidR="007760FE" w:rsidRPr="007760FE" w:rsidRDefault="00F35740"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0.11</w:t>
            </w:r>
          </w:p>
        </w:tc>
      </w:tr>
      <w:tr w:rsidR="007760FE" w14:paraId="17BE9878" w14:textId="77777777" w:rsidTr="00BC63BB">
        <w:tc>
          <w:tcPr>
            <w:tcW w:w="2660" w:type="dxa"/>
          </w:tcPr>
          <w:p w14:paraId="179E3894" w14:textId="77777777" w:rsidR="007760FE" w:rsidRPr="007760FE" w:rsidRDefault="007760FE" w:rsidP="00BC63BB">
            <w:pPr>
              <w:rPr>
                <w:rFonts w:ascii="Times New Roman" w:hAnsi="Times New Roman" w:cs="Times New Roman"/>
                <w:lang w:eastAsia="ja-JP"/>
              </w:rPr>
            </w:pPr>
          </w:p>
        </w:tc>
        <w:tc>
          <w:tcPr>
            <w:tcW w:w="2551" w:type="dxa"/>
          </w:tcPr>
          <w:p w14:paraId="2BED5065" w14:textId="77777777" w:rsidR="007760FE" w:rsidRPr="007760FE" w:rsidRDefault="007760FE" w:rsidP="00BC63BB">
            <w:pPr>
              <w:rPr>
                <w:rFonts w:ascii="Times New Roman" w:hAnsi="Times New Roman" w:cs="Times New Roman"/>
                <w:lang w:eastAsia="ja-JP"/>
              </w:rPr>
            </w:pPr>
          </w:p>
        </w:tc>
        <w:tc>
          <w:tcPr>
            <w:tcW w:w="1985" w:type="dxa"/>
          </w:tcPr>
          <w:p w14:paraId="4A32093C" w14:textId="77777777" w:rsidR="007760FE" w:rsidRPr="007760FE" w:rsidRDefault="007760FE" w:rsidP="00BC63BB">
            <w:pPr>
              <w:rPr>
                <w:rFonts w:ascii="Times New Roman" w:hAnsi="Times New Roman" w:cs="Times New Roman"/>
                <w:lang w:eastAsia="ja-JP"/>
              </w:rPr>
            </w:pPr>
          </w:p>
        </w:tc>
        <w:tc>
          <w:tcPr>
            <w:tcW w:w="2046" w:type="dxa"/>
          </w:tcPr>
          <w:p w14:paraId="7C9914C4" w14:textId="77777777" w:rsidR="007760FE" w:rsidRPr="007760FE" w:rsidRDefault="007760FE" w:rsidP="00BC63BB">
            <w:pPr>
              <w:rPr>
                <w:rFonts w:ascii="Times New Roman" w:hAnsi="Times New Roman" w:cs="Times New Roman"/>
                <w:lang w:eastAsia="ja-JP"/>
              </w:rPr>
            </w:pPr>
          </w:p>
        </w:tc>
      </w:tr>
      <w:tr w:rsidR="007760FE" w14:paraId="0DD84B51" w14:textId="77777777" w:rsidTr="00BC63BB">
        <w:tc>
          <w:tcPr>
            <w:tcW w:w="2660" w:type="dxa"/>
          </w:tcPr>
          <w:p w14:paraId="05EBF16A" w14:textId="77777777" w:rsidR="007760FE" w:rsidRPr="007760FE" w:rsidRDefault="007760FE" w:rsidP="00BC63BB">
            <w:pPr>
              <w:rPr>
                <w:rFonts w:ascii="Times New Roman" w:hAnsi="Times New Roman" w:cs="Times New Roman"/>
                <w:lang w:eastAsia="ja-JP"/>
              </w:rPr>
            </w:pPr>
          </w:p>
        </w:tc>
        <w:tc>
          <w:tcPr>
            <w:tcW w:w="2551" w:type="dxa"/>
          </w:tcPr>
          <w:p w14:paraId="47991D5D" w14:textId="77777777" w:rsidR="007760FE" w:rsidRPr="007760FE" w:rsidRDefault="007760FE" w:rsidP="00BC63BB">
            <w:pPr>
              <w:rPr>
                <w:rFonts w:ascii="Times New Roman" w:hAnsi="Times New Roman" w:cs="Times New Roman"/>
                <w:lang w:eastAsia="ja-JP"/>
              </w:rPr>
            </w:pPr>
          </w:p>
        </w:tc>
        <w:tc>
          <w:tcPr>
            <w:tcW w:w="1985" w:type="dxa"/>
          </w:tcPr>
          <w:p w14:paraId="580858EB" w14:textId="77777777" w:rsidR="007760FE" w:rsidRPr="007760FE" w:rsidRDefault="007760FE" w:rsidP="00BC63BB">
            <w:pPr>
              <w:rPr>
                <w:rFonts w:ascii="Times New Roman" w:hAnsi="Times New Roman" w:cs="Times New Roman"/>
                <w:lang w:eastAsia="ja-JP"/>
              </w:rPr>
            </w:pPr>
          </w:p>
        </w:tc>
        <w:tc>
          <w:tcPr>
            <w:tcW w:w="2046" w:type="dxa"/>
          </w:tcPr>
          <w:p w14:paraId="53480AEF" w14:textId="77777777" w:rsidR="007760FE" w:rsidRPr="007760FE" w:rsidRDefault="007760FE" w:rsidP="00BC63BB">
            <w:pPr>
              <w:rPr>
                <w:rFonts w:ascii="Times New Roman" w:hAnsi="Times New Roman" w:cs="Times New Roman"/>
                <w:lang w:eastAsia="ja-JP"/>
              </w:rPr>
            </w:pPr>
          </w:p>
        </w:tc>
      </w:tr>
      <w:tr w:rsidR="007760FE" w14:paraId="57B426D8" w14:textId="77777777" w:rsidTr="00BC63BB">
        <w:tc>
          <w:tcPr>
            <w:tcW w:w="5211" w:type="dxa"/>
            <w:gridSpan w:val="2"/>
          </w:tcPr>
          <w:p w14:paraId="3DCE29C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r>
      <w:tr w:rsidR="007760FE" w14:paraId="7D9A531F" w14:textId="77777777" w:rsidTr="00BC63BB">
        <w:tc>
          <w:tcPr>
            <w:tcW w:w="2660" w:type="dxa"/>
          </w:tcPr>
          <w:p w14:paraId="35431213" w14:textId="1A009789" w:rsidR="007760FE" w:rsidRPr="007760FE" w:rsidRDefault="007760FE"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1</w:t>
            </w:r>
          </w:p>
        </w:tc>
        <w:tc>
          <w:tcPr>
            <w:tcW w:w="2551" w:type="dxa"/>
          </w:tcPr>
          <w:p w14:paraId="6919221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5DBD49D6"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-5.46</w:t>
            </w:r>
          </w:p>
        </w:tc>
        <w:tc>
          <w:tcPr>
            <w:tcW w:w="2046" w:type="dxa"/>
          </w:tcPr>
          <w:p w14:paraId="2A5442FB" w14:textId="2757B3C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14550818" w14:textId="77777777" w:rsidTr="00BC63BB">
        <w:tc>
          <w:tcPr>
            <w:tcW w:w="2660" w:type="dxa"/>
          </w:tcPr>
          <w:p w14:paraId="2473D874" w14:textId="31D9E742"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w:t>
            </w:r>
            <w:r w:rsidRPr="007760FE">
              <w:rPr>
                <w:rFonts w:ascii="Times New Roman" w:hAnsi="Times New Roman" w:cs="Times New Roman"/>
                <w:lang w:eastAsia="ja-JP"/>
              </w:rPr>
              <w:t>2</w:t>
            </w:r>
          </w:p>
        </w:tc>
        <w:tc>
          <w:tcPr>
            <w:tcW w:w="2551" w:type="dxa"/>
          </w:tcPr>
          <w:p w14:paraId="0B43AE4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1895A47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-3.82</w:t>
            </w:r>
          </w:p>
        </w:tc>
        <w:tc>
          <w:tcPr>
            <w:tcW w:w="2046" w:type="dxa"/>
          </w:tcPr>
          <w:p w14:paraId="1C3ABC43" w14:textId="3CE0B10F"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5F2984A5" w14:textId="77777777" w:rsidTr="00BC63BB">
        <w:tc>
          <w:tcPr>
            <w:tcW w:w="2660" w:type="dxa"/>
          </w:tcPr>
          <w:p w14:paraId="1D244B93" w14:textId="0271EBEB"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3</w:t>
            </w:r>
          </w:p>
        </w:tc>
        <w:tc>
          <w:tcPr>
            <w:tcW w:w="2551" w:type="dxa"/>
          </w:tcPr>
          <w:p w14:paraId="14740B7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4745DC3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-2.72</w:t>
            </w:r>
          </w:p>
        </w:tc>
        <w:tc>
          <w:tcPr>
            <w:tcW w:w="2046" w:type="dxa"/>
          </w:tcPr>
          <w:p w14:paraId="12E10FD8" w14:textId="3C90FAE5"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326FE844" w14:textId="77777777" w:rsidTr="00BC63BB">
        <w:tc>
          <w:tcPr>
            <w:tcW w:w="2660" w:type="dxa"/>
          </w:tcPr>
          <w:p w14:paraId="2E5F9FE6" w14:textId="29B5CFCA" w:rsidR="007760FE" w:rsidRPr="007760FE" w:rsidRDefault="007760FE"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7760FE" w:rsidRPr="007760FE" w:rsidRDefault="007760FE" w:rsidP="00BC63BB">
            <w:pPr>
              <w:rPr>
                <w:rFonts w:ascii="Times New Roman" w:hAnsi="Times New Roman" w:cs="Times New Roman"/>
                <w:lang w:eastAsia="ja-JP"/>
              </w:rPr>
            </w:pPr>
          </w:p>
        </w:tc>
        <w:tc>
          <w:tcPr>
            <w:tcW w:w="1985" w:type="dxa"/>
          </w:tcPr>
          <w:p w14:paraId="1F488C3A" w14:textId="6B6B4A3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Correlated draws</w:t>
            </w:r>
          </w:p>
        </w:tc>
      </w:tr>
      <w:tr w:rsidR="007760FE" w14:paraId="512BDB04" w14:textId="77777777" w:rsidTr="00BC63BB">
        <w:tc>
          <w:tcPr>
            <w:tcW w:w="2660" w:type="dxa"/>
          </w:tcPr>
          <w:p w14:paraId="0A2E3D31" w14:textId="2098B2E2"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&lt;55</w:t>
            </w:r>
          </w:p>
        </w:tc>
        <w:tc>
          <w:tcPr>
            <w:tcW w:w="2551" w:type="dxa"/>
          </w:tcPr>
          <w:p w14:paraId="2AEE3507" w14:textId="3C72E86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23486701" w14:textId="77777777" w:rsidTr="00BC63BB">
        <w:tc>
          <w:tcPr>
            <w:tcW w:w="2660" w:type="dxa"/>
          </w:tcPr>
          <w:p w14:paraId="1A7DF75B" w14:textId="580B7EAE"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55-74</w:t>
            </w:r>
          </w:p>
        </w:tc>
        <w:tc>
          <w:tcPr>
            <w:tcW w:w="2551" w:type="dxa"/>
          </w:tcPr>
          <w:p w14:paraId="6D871BCC" w14:textId="5A45AC1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439B60F3" w14:textId="77777777" w:rsidTr="00BC63BB">
        <w:tc>
          <w:tcPr>
            <w:tcW w:w="2660" w:type="dxa"/>
          </w:tcPr>
          <w:p w14:paraId="2BA449DC" w14:textId="06BB4228"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&gt;74</w:t>
            </w:r>
          </w:p>
        </w:tc>
        <w:tc>
          <w:tcPr>
            <w:tcW w:w="2551" w:type="dxa"/>
          </w:tcPr>
          <w:p w14:paraId="58B2551C" w14:textId="3DE7F0CE"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6608F151" w14:textId="77777777" w:rsidTr="00BC63BB">
        <w:tc>
          <w:tcPr>
            <w:tcW w:w="9242" w:type="dxa"/>
            <w:gridSpan w:val="4"/>
          </w:tcPr>
          <w:p w14:paraId="56D28A1A" w14:textId="77777777" w:rsidR="007760FE" w:rsidRPr="007760FE" w:rsidRDefault="007760FE"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r>
      <w:tr w:rsidR="007760FE" w14:paraId="0947F6BD" w14:textId="77777777" w:rsidTr="00BC63BB">
        <w:tc>
          <w:tcPr>
            <w:tcW w:w="2660" w:type="dxa"/>
          </w:tcPr>
          <w:p w14:paraId="001EA385" w14:textId="57E0D2DC" w:rsidR="007760FE" w:rsidRPr="007760FE" w:rsidRDefault="004907ED"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2150B56C" w14:textId="066C2BDE"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3A5B472F" w14:textId="77777777" w:rsidTr="00BC63BB">
        <w:tc>
          <w:tcPr>
            <w:tcW w:w="2660" w:type="dxa"/>
          </w:tcPr>
          <w:p w14:paraId="0122691D" w14:textId="77777777" w:rsidR="007760FE" w:rsidRPr="007760FE" w:rsidRDefault="007760FE"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18094EDD" w14:textId="069F6944"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64212DBA" w14:textId="77777777" w:rsidTr="00BC63BB">
        <w:tc>
          <w:tcPr>
            <w:tcW w:w="2660" w:type="dxa"/>
          </w:tcPr>
          <w:p w14:paraId="055FB6E0" w14:textId="0503203B"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7760FE" w:rsidRPr="007760FE" w:rsidRDefault="007760FE" w:rsidP="007760FE">
            <w:pPr>
              <w:rPr>
                <w:rFonts w:ascii="Times New Roman" w:hAnsi="Times New Roman" w:cs="Times New Roman"/>
                <w:lang w:eastAsia="ja-JP"/>
              </w:rPr>
            </w:pPr>
          </w:p>
        </w:tc>
        <w:tc>
          <w:tcPr>
            <w:tcW w:w="1985" w:type="dxa"/>
          </w:tcPr>
          <w:p w14:paraId="05B1CA32" w14:textId="613EEFB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Standard Deviation</w:t>
            </w:r>
          </w:p>
        </w:tc>
      </w:tr>
      <w:tr w:rsidR="007760FE" w14:paraId="7F61D7B6" w14:textId="77777777" w:rsidTr="00BC63BB">
        <w:tc>
          <w:tcPr>
            <w:tcW w:w="2660" w:type="dxa"/>
          </w:tcPr>
          <w:p w14:paraId="67E42AD5" w14:textId="2FF7F257"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432DA635"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2.09</w:t>
            </w:r>
          </w:p>
        </w:tc>
        <w:tc>
          <w:tcPr>
            <w:tcW w:w="2046" w:type="dxa"/>
          </w:tcPr>
          <w:p w14:paraId="57BCC1C0" w14:textId="794B8E7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0.06</w:t>
            </w:r>
          </w:p>
        </w:tc>
      </w:tr>
      <w:tr w:rsidR="007760FE" w14:paraId="71001496" w14:textId="77777777" w:rsidTr="00BC63BB">
        <w:tc>
          <w:tcPr>
            <w:tcW w:w="2660" w:type="dxa"/>
          </w:tcPr>
          <w:p w14:paraId="679D5B2C" w14:textId="2B9DF6CA"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 multiplier</w:t>
            </w:r>
          </w:p>
        </w:tc>
        <w:tc>
          <w:tcPr>
            <w:tcW w:w="2551" w:type="dxa"/>
          </w:tcPr>
          <w:p w14:paraId="1ABFA325" w14:textId="2D6C4090"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5661A54A"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0.10</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48C3489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8878</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1A4B7B03" w:rsidR="0015659E" w:rsidRPr="0015659E" w:rsidRDefault="0015659E" w:rsidP="0015659E">
            <w:pPr>
              <w:jc w:val="center"/>
              <w:rPr>
                <w:color w:val="000000"/>
                <w:sz w:val="22"/>
                <w:szCs w:val="22"/>
                <w:lang w:eastAsia="en-GB"/>
              </w:rPr>
            </w:pPr>
            <w:r>
              <w:rPr>
                <w:color w:val="000000"/>
                <w:sz w:val="22"/>
                <w:szCs w:val="22"/>
                <w:lang w:eastAsia="en-GB"/>
              </w:rPr>
              <w:t>0.01819</w:t>
            </w:r>
          </w:p>
        </w:tc>
        <w:tc>
          <w:tcPr>
            <w:tcW w:w="3081" w:type="dxa"/>
            <w:vAlign w:val="center"/>
          </w:tcPr>
          <w:p w14:paraId="5323DD00" w14:textId="18EFD6C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0373</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1ADB863B" w:rsidR="0015659E" w:rsidRPr="0015659E" w:rsidRDefault="0015659E" w:rsidP="0015659E">
            <w:pPr>
              <w:jc w:val="center"/>
              <w:rPr>
                <w:color w:val="000000"/>
                <w:sz w:val="22"/>
                <w:szCs w:val="22"/>
                <w:lang w:eastAsia="en-GB"/>
              </w:rPr>
            </w:pPr>
            <w:r>
              <w:rPr>
                <w:color w:val="000000"/>
                <w:sz w:val="22"/>
                <w:szCs w:val="22"/>
                <w:lang w:eastAsia="en-GB"/>
              </w:rPr>
              <w:t>0.01866</w:t>
            </w:r>
          </w:p>
        </w:tc>
        <w:tc>
          <w:tcPr>
            <w:tcW w:w="3081" w:type="dxa"/>
            <w:vAlign w:val="center"/>
          </w:tcPr>
          <w:p w14:paraId="0C246A10" w14:textId="59B565E9" w:rsidR="0015659E" w:rsidRPr="0015659E" w:rsidRDefault="0015659E" w:rsidP="0015659E">
            <w:pPr>
              <w:jc w:val="center"/>
              <w:rPr>
                <w:color w:val="000000"/>
                <w:sz w:val="22"/>
                <w:szCs w:val="22"/>
                <w:lang w:eastAsia="en-GB"/>
              </w:rPr>
            </w:pPr>
            <w:r>
              <w:rPr>
                <w:color w:val="000000"/>
                <w:sz w:val="22"/>
                <w:szCs w:val="22"/>
                <w:lang w:eastAsia="en-GB"/>
              </w:rPr>
              <w:t>0.00384</w:t>
            </w:r>
          </w:p>
        </w:tc>
        <w:tc>
          <w:tcPr>
            <w:tcW w:w="3081" w:type="dxa"/>
            <w:vAlign w:val="center"/>
          </w:tcPr>
          <w:p w14:paraId="6C05A088" w14:textId="56564FB3" w:rsidR="0015659E" w:rsidRPr="0015659E" w:rsidRDefault="0015659E" w:rsidP="0015659E">
            <w:pPr>
              <w:jc w:val="center"/>
              <w:rPr>
                <w:color w:val="000000"/>
                <w:sz w:val="22"/>
                <w:szCs w:val="22"/>
                <w:lang w:eastAsia="en-GB"/>
              </w:rPr>
            </w:pPr>
            <w:r>
              <w:rPr>
                <w:color w:val="000000"/>
                <w:sz w:val="22"/>
                <w:szCs w:val="22"/>
                <w:lang w:eastAsia="en-GB"/>
              </w:rPr>
              <w:t>0.00395</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t>References</w:t>
      </w:r>
    </w:p>
    <w:p w14:paraId="275580B8" w14:textId="09959A35" w:rsidR="00DA7113" w:rsidRPr="0015659E" w:rsidRDefault="00567F2C"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rPr>
        <w:fldChar w:fldCharType="begin" w:fldLock="1"/>
      </w:r>
      <w:r w:rsidRPr="0015659E">
        <w:rPr>
          <w:rFonts w:ascii="Times New Roman" w:hAnsi="Times New Roman" w:cs="Times New Roman"/>
        </w:rPr>
        <w:instrText xml:space="preserve">ADDIN Mendeley Bibliography CSL_BIBLIOGRAPHY </w:instrText>
      </w:r>
      <w:r w:rsidRPr="0015659E">
        <w:rPr>
          <w:rFonts w:ascii="Times New Roman" w:hAnsi="Times New Roman" w:cs="Times New Roman"/>
        </w:rPr>
        <w:fldChar w:fldCharType="separate"/>
      </w:r>
      <w:r w:rsidR="00DA7113" w:rsidRPr="0015659E">
        <w:rPr>
          <w:rFonts w:ascii="Times New Roman" w:hAnsi="Times New Roman" w:cs="Times New Roman"/>
          <w:noProof/>
          <w:szCs w:val="24"/>
        </w:rPr>
        <w:t>[1]</w:t>
      </w:r>
      <w:r w:rsidR="00DA7113" w:rsidRPr="0015659E">
        <w:rPr>
          <w:rFonts w:ascii="Times New Roman" w:hAnsi="Times New Roman" w:cs="Times New Roman"/>
          <w:noProof/>
          <w:szCs w:val="24"/>
        </w:rPr>
        <w:tab/>
        <w:t>NHS Digital Screening and Immunisations Team, Breast Screening Programme, 2021. https://files.digital.nhs.uk/F9/98C8E3/breast-screening-programme-eng-2019-20-report.pdf (accessed April 5, 2022).</w:t>
      </w:r>
    </w:p>
    <w:p w14:paraId="1637DA07"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[2]</w:t>
      </w:r>
      <w:r w:rsidRPr="0015659E">
        <w:rPr>
          <w:rFonts w:ascii="Times New Roman" w:hAnsi="Times New Roman" w:cs="Times New Roman"/>
          <w:noProof/>
          <w:szCs w:val="24"/>
        </w:rPr>
        <w:tab/>
        <w:t>Cancer Research UK, Early Diagnosis Data Hub, (2022). https://crukcancerintelligence.shinyapps.io/EarlyDiagnosis/ (accessed April 14, 2022).</w:t>
      </w:r>
    </w:p>
    <w:p w14:paraId="77B40772"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[3]</w:t>
      </w:r>
      <w:r w:rsidRPr="0015659E">
        <w:rPr>
          <w:rFonts w:ascii="Times New Roman" w:hAnsi="Times New Roman" w:cs="Times New Roman"/>
          <w:noProof/>
          <w:szCs w:val="24"/>
        </w:rPr>
        <w:tab/>
        <w:t>Office for National Statistics, National Life Tables, (2021). https://www.ons.gov.uk/peoplepopulationandcommunity/birthsdeathsandmarriages/lifeexpectancies/datasets/nationallifetablesunitedkingdomreferencetables.</w:t>
      </w:r>
    </w:p>
    <w:p w14:paraId="508E9680"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[4]</w:t>
      </w:r>
      <w:r w:rsidRPr="0015659E">
        <w:rPr>
          <w:rFonts w:ascii="Times New Roman" w:hAnsi="Times New Roman" w:cs="Times New Roman"/>
          <w:noProof/>
          <w:szCs w:val="24"/>
        </w:rPr>
        <w:tab/>
        <w:t>Office for National Statistics, Cancer survival in England - adults diagnosed, (2019). https://www.ons.gov.uk/peoplepopulationandcommunity/healthandsocialcare/conditionsanddiseases/datasets/cancersurvivalratescancersurvivalinenglandadultsdiagnosed (accessed April 14, 2022).</w:t>
      </w:r>
    </w:p>
    <w:p w14:paraId="09309088"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[5]</w:t>
      </w:r>
      <w:r w:rsidRPr="0015659E">
        <w:rPr>
          <w:rFonts w:ascii="Times New Roman" w:hAnsi="Times New Roman" w:cs="Times New Roman"/>
          <w:noProof/>
          <w:szCs w:val="24"/>
        </w:rPr>
        <w:tab/>
        <w:t>Cancer Research UK, Breast cancer incidence (invasive) statistics, (2022). https://www.cancerresearchuk.org/health-professional/cancer-statistics/statistics-by-cancer-type/breast-cancer/incidence-invasive#heading-One (accessed April 14, 2022).</w:t>
      </w:r>
    </w:p>
    <w:p w14:paraId="272577B1"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[6]</w:t>
      </w:r>
      <w:r w:rsidRPr="0015659E">
        <w:rPr>
          <w:rFonts w:ascii="Times New Roman" w:hAnsi="Times New Roman" w:cs="Times New Roman"/>
          <w:noProof/>
          <w:szCs w:val="24"/>
        </w:rPr>
        <w:tab/>
        <w:t>J. Kollias, C.A. Murphy, C.W. Elston, I.O. Ellis, J.F.R. Robertson, R.W. Blarney, The prognosis of small primary breast cancers, Eur. J. Cancer. 35 (1999) 908–912. https://doi.org/10.1016/S0959-8049(99)00056-8.</w:t>
      </w:r>
    </w:p>
    <w:p w14:paraId="636D8350"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[7]</w:t>
      </w:r>
      <w:r w:rsidRPr="0015659E">
        <w:rPr>
          <w:rFonts w:ascii="Times New Roman" w:hAnsi="Times New Roman" w:cs="Times New Roman"/>
          <w:noProof/>
          <w:szCs w:val="24"/>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14:paraId="7B536EDF"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[8]</w:t>
      </w:r>
      <w:r w:rsidRPr="0015659E">
        <w:rPr>
          <w:rFonts w:ascii="Times New Roman" w:hAnsi="Times New Roman" w:cs="Times New Roman"/>
          <w:noProof/>
          <w:szCs w:val="24"/>
        </w:rPr>
        <w:tab/>
        <w:t xml:space="preserve">J.O.P. Wanders, K. Holland, W.B. Veldhuis, R.M. Mann, R.M. Pijnappel, P.H.M. Peeters, C.H. van Gils, N. Karssemeijer, Volumetric breast density </w:t>
      </w:r>
      <w:r w:rsidRPr="0015659E">
        <w:rPr>
          <w:rFonts w:ascii="Times New Roman" w:hAnsi="Times New Roman" w:cs="Times New Roman"/>
          <w:noProof/>
          <w:szCs w:val="24"/>
        </w:rPr>
        <w:lastRenderedPageBreak/>
        <w:t>affects performance of digital screening mammography, Breast Cancer Res. Treat. 162 (2017) 95–103. https://doi.org/10.1007/S10549-016-4090-7/TABLES/4.</w:t>
      </w:r>
    </w:p>
    <w:p w14:paraId="4AD166E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[9]</w:t>
      </w:r>
      <w:r w:rsidRPr="0015659E">
        <w:rPr>
          <w:rFonts w:ascii="Times New Roman" w:hAnsi="Times New Roman" w:cs="Times New Roman"/>
          <w:noProof/>
          <w:szCs w:val="24"/>
        </w:rPr>
        <w:tab/>
        <w:t>J. Tice, D. Ollendorf, J. Lee, S. Pearson, The Comparative Clinical Effectiveness and Value of Supplemental Screening Tests Following Negative Mammography in Women with Dense Breast Tissue, San Francisco, CA, 2013.</w:t>
      </w:r>
    </w:p>
    <w:p w14:paraId="5E65C2E6"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[10]</w:t>
      </w:r>
      <w:r w:rsidRPr="0015659E">
        <w:rPr>
          <w:rFonts w:ascii="Times New Roman" w:hAnsi="Times New Roman" w:cs="Times New Roman"/>
          <w:noProof/>
          <w:szCs w:val="24"/>
        </w:rPr>
        <w:tab/>
        <w:t>E. Gray, A. Donten, N. Karssemeijer, C. van Gils, D.G. Evans, S. Astley, K. Payne, Evaluation of a Stratified National Breast Screening Program in the United Kingdom: An Early Model-Based Cost-Effectiveness Analysis, Value Heal. 20 (2017) 1100–1109. https://doi.org/10.1016/j.jval.2017.04.012.</w:t>
      </w:r>
    </w:p>
    <w:p w14:paraId="00F2CB9F"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[11]</w:t>
      </w:r>
      <w:r w:rsidRPr="0015659E">
        <w:rPr>
          <w:rFonts w:ascii="Times New Roman" w:hAnsi="Times New Roman" w:cs="Times New Roman"/>
          <w:noProof/>
          <w:szCs w:val="24"/>
        </w:rPr>
        <w:tab/>
        <w:t>E.S. Burnside, D. Vulkan, R.G. Blanks, S.W. Duffy, Association between screening mammography recall rate and interval cancers in the UK breast cancer service screening program: A cohort study, Radiology. 288 (2018) 47–54. https://doi.org/10.1148/RADIOL.2018171539/ASSET/IMAGES/LARGE/RADIOL.2018171539.FIG4.JPEG.</w:t>
      </w:r>
    </w:p>
    <w:p w14:paraId="7D7A52F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[12]</w:t>
      </w:r>
      <w:r w:rsidRPr="0015659E">
        <w:rPr>
          <w:rFonts w:ascii="Times New Roman" w:hAnsi="Times New Roman" w:cs="Times New Roman"/>
          <w:noProof/>
          <w:szCs w:val="24"/>
        </w:rPr>
        <w:tab/>
        <w:t>H. Weedon-Fekjær, B.H. Lindqvist, L.J. Vatten, O.O. Aalen, S. Tretli, Breast cancer tumor growth estimated through mammography screening data, Breast Cancer Res. 10 (2008) R41. https://doi.org/10.1186/BCR2092.</w:t>
      </w:r>
    </w:p>
    <w:p w14:paraId="58CE0DD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[13]</w:t>
      </w:r>
      <w:r w:rsidRPr="0015659E">
        <w:rPr>
          <w:rFonts w:ascii="Times New Roman" w:hAnsi="Times New Roman" w:cs="Times New Roman"/>
          <w:noProof/>
          <w:szCs w:val="24"/>
        </w:rPr>
        <w:tab/>
        <w:t>NHS England, 2021/22 National Tariff Payment System, 2022. https://www.england.nhs.uk/publication/national-tariff-payment-system-documents-annexes-and-supporting-documents/.</w:t>
      </w:r>
    </w:p>
    <w:p w14:paraId="73F618B8"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[14]</w:t>
      </w:r>
      <w:r w:rsidRPr="0015659E">
        <w:rPr>
          <w:rFonts w:ascii="Times New Roman" w:hAnsi="Times New Roman" w:cs="Times New Roman"/>
          <w:noProof/>
          <w:szCs w:val="24"/>
        </w:rPr>
        <w:tab/>
        <w:t>M. Laudicella, B. Walsh, E. Burns, P.C. Smith, Cost of care for cancer patients in England: evidence from population-based patient-level data, Br. J. Cancer. 114 (2016) 1286–1292. https://doi.org/10.1038/BJC.2016.77.</w:t>
      </w:r>
    </w:p>
    <w:p w14:paraId="431F315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[15]</w:t>
      </w:r>
      <w:r w:rsidRPr="0015659E">
        <w:rPr>
          <w:rFonts w:ascii="Times New Roman" w:hAnsi="Times New Roman" w:cs="Times New Roman"/>
          <w:noProof/>
          <w:szCs w:val="24"/>
        </w:rPr>
        <w:tab/>
        <w:t>R. Ara, J.E. Brazier, Using Health State Utility Values from the General Population to Approximate Baselines in Decision Analytic Models when Condition-Specific Data are Not Available, Value Heal. 14 (2011) 539–545. https://doi.org/10.1016/j.jval.2010.10.029.</w:t>
      </w:r>
    </w:p>
    <w:p w14:paraId="1EB4E964"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[16]</w:t>
      </w:r>
      <w:r w:rsidRPr="0015659E">
        <w:rPr>
          <w:rFonts w:ascii="Times New Roman" w:hAnsi="Times New Roman" w:cs="Times New Roman"/>
          <w:noProof/>
          <w:szCs w:val="24"/>
        </w:rPr>
        <w:tab/>
        <w:t>H. Naik, D. Howell, S. Su, • Xin Qiu, • M Catherine Brown, A. Vennettilli, M. Irwin, V. Pat, H. Solomon, T. Wang, H. Hon, • Lawson Eng, M. Mahler, • Henry Thai, V. Ho, W. Xu, • Soo, J. Seung, • Nicole Mittmann, G. Liu, EQ-5D Health Utility Scores: Data from a Comprehensive Canadian Cancer Centre, Patient - Patient-Centered Outcomes Res. 10 (2017) 105–115. https://doi.org/10.1007/s40271-016-0190-z.</w:t>
      </w:r>
    </w:p>
    <w:p w14:paraId="1D6A74CD"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[17]</w:t>
      </w:r>
      <w:r w:rsidRPr="0015659E">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14:paraId="180F9D4A"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rPr>
      </w:pPr>
      <w:r w:rsidRPr="0015659E">
        <w:rPr>
          <w:rFonts w:ascii="Times New Roman" w:hAnsi="Times New Roman" w:cs="Times New Roman"/>
          <w:noProof/>
          <w:szCs w:val="24"/>
        </w:rPr>
        <w:t>[18]</w:t>
      </w:r>
      <w:r w:rsidRPr="0015659E">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14:paraId="3C0AFE62" w14:textId="77777777"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art Wright" w:date="2022-04-15T10:46:00Z" w:initials="SW">
    <w:p w14:paraId="553C1762" w14:textId="77777777" w:rsidR="00F146F6" w:rsidRDefault="00F146F6">
      <w:pPr>
        <w:pStyle w:val="CommentText"/>
      </w:pPr>
      <w:r>
        <w:rPr>
          <w:rStyle w:val="CommentReference"/>
        </w:rPr>
        <w:annotationRef/>
      </w:r>
      <w:r>
        <w:t>Ask Ewan</w:t>
      </w:r>
    </w:p>
  </w:comment>
  <w:comment w:id="2" w:author="Stuart Wright" w:date="2022-04-15T10:49:00Z" w:initials="SW">
    <w:p w14:paraId="7D59F85E" w14:textId="77777777" w:rsidR="00F146F6" w:rsidRDefault="00F146F6">
      <w:pPr>
        <w:pStyle w:val="CommentText"/>
      </w:pPr>
      <w:r>
        <w:rPr>
          <w:rStyle w:val="CommentReference"/>
        </w:rPr>
        <w:annotationRef/>
      </w:r>
      <w:r>
        <w:t>To do</w:t>
      </w:r>
    </w:p>
  </w:comment>
  <w:comment w:id="3" w:author="Stuart Wright" w:date="2022-04-15T12:09:00Z" w:initials="SW">
    <w:p w14:paraId="04D71A25" w14:textId="77777777" w:rsidR="00F6378D" w:rsidRDefault="00F6378D">
      <w:pPr>
        <w:pStyle w:val="CommentText"/>
      </w:pPr>
      <w:r>
        <w:rPr>
          <w:rStyle w:val="CommentReference"/>
        </w:rPr>
        <w:annotationRef/>
      </w:r>
      <w:r>
        <w:t>To do</w:t>
      </w:r>
    </w:p>
  </w:comment>
  <w:comment w:id="4" w:author="Stuart Wright" w:date="2022-04-15T12:34:00Z" w:initials="SW">
    <w:p w14:paraId="4B12A06F" w14:textId="77777777" w:rsidR="002F201D" w:rsidRDefault="002F201D">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C1762" w15:done="0"/>
  <w15:commentEx w15:paraId="7D59F85E" w15:done="0"/>
  <w15:commentEx w15:paraId="04D71A25" w15:done="0"/>
  <w15:commentEx w15:paraId="4B12A0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Wright">
    <w15:presenceInfo w15:providerId="AD" w15:userId="S-1-5-21-1715567821-1957994488-725345543-398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E0"/>
    <w:rsid w:val="00041D68"/>
    <w:rsid w:val="0015659E"/>
    <w:rsid w:val="002D5342"/>
    <w:rsid w:val="002F201D"/>
    <w:rsid w:val="003C3D5F"/>
    <w:rsid w:val="00464862"/>
    <w:rsid w:val="004907ED"/>
    <w:rsid w:val="004B7C43"/>
    <w:rsid w:val="00506DBF"/>
    <w:rsid w:val="00567F2C"/>
    <w:rsid w:val="0065013A"/>
    <w:rsid w:val="00710DF8"/>
    <w:rsid w:val="007760FE"/>
    <w:rsid w:val="007C5531"/>
    <w:rsid w:val="007F2147"/>
    <w:rsid w:val="00821056"/>
    <w:rsid w:val="008A5AB8"/>
    <w:rsid w:val="009155E0"/>
    <w:rsid w:val="00B12608"/>
    <w:rsid w:val="00B54F68"/>
    <w:rsid w:val="00BE6963"/>
    <w:rsid w:val="00C359F5"/>
    <w:rsid w:val="00D027FB"/>
    <w:rsid w:val="00D06FC1"/>
    <w:rsid w:val="00DA7113"/>
    <w:rsid w:val="00E249AA"/>
    <w:rsid w:val="00E93C39"/>
    <w:rsid w:val="00F146F6"/>
    <w:rsid w:val="00F35740"/>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188C2-5DE8-4A13-BC2F-3458A647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11</Pages>
  <Words>20092</Words>
  <Characters>114525</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17</cp:revision>
  <dcterms:created xsi:type="dcterms:W3CDTF">2022-04-14T12:06:00Z</dcterms:created>
  <dcterms:modified xsi:type="dcterms:W3CDTF">2022-06-07T12:39:00Z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