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29C" w:rsidRPr="005D570C" w:rsidRDefault="00B5329C" w:rsidP="00B5329C">
      <w:pPr>
        <w:pStyle w:val="Heading2"/>
        <w:rPr>
          <w:rFonts w:cs="Arial"/>
          <w:sz w:val="22"/>
          <w:szCs w:val="22"/>
        </w:rPr>
      </w:pPr>
      <w:r w:rsidRPr="005D570C">
        <w:rPr>
          <w:rFonts w:cs="Arial"/>
          <w:sz w:val="22"/>
          <w:szCs w:val="22"/>
        </w:rPr>
        <w:t xml:space="preserve">Tumour </w:t>
      </w:r>
      <w:r>
        <w:rPr>
          <w:rFonts w:cs="Arial"/>
          <w:sz w:val="22"/>
          <w:szCs w:val="22"/>
        </w:rPr>
        <w:t>g</w:t>
      </w:r>
      <w:r w:rsidRPr="005D570C">
        <w:rPr>
          <w:rFonts w:cs="Arial"/>
          <w:sz w:val="22"/>
          <w:szCs w:val="22"/>
        </w:rPr>
        <w:t>rowth model functional</w:t>
      </w:r>
      <w:r>
        <w:rPr>
          <w:rFonts w:cs="Arial"/>
          <w:sz w:val="22"/>
          <w:szCs w:val="22"/>
        </w:rPr>
        <w:t xml:space="preserve"> form</w:t>
      </w:r>
      <w:r w:rsidRPr="005D570C">
        <w:rPr>
          <w:rFonts w:cs="Arial"/>
          <w:sz w:val="22"/>
          <w:szCs w:val="22"/>
        </w:rPr>
        <w:t xml:space="preserve"> choice</w:t>
      </w:r>
    </w:p>
    <w:p w:rsidR="00B5329C" w:rsidRPr="005D570C" w:rsidRDefault="00B5329C" w:rsidP="00B5329C">
      <w:pPr>
        <w:pStyle w:val="NormalWeb"/>
        <w:spacing w:before="0" w:beforeAutospacing="0" w:after="0" w:afterAutospacing="0"/>
        <w:rPr>
          <w:rFonts w:ascii="Arial" w:hAnsi="Arial" w:cs="Arial"/>
          <w:color w:val="000000"/>
          <w:sz w:val="22"/>
          <w:szCs w:val="22"/>
        </w:rPr>
      </w:pPr>
    </w:p>
    <w:p w:rsidR="00B5329C" w:rsidRPr="005D570C" w:rsidRDefault="00B5329C" w:rsidP="00B5329C">
      <w:pPr>
        <w:pStyle w:val="NormalWeb"/>
        <w:spacing w:before="0" w:beforeAutospacing="0" w:after="0" w:afterAutospacing="0"/>
        <w:rPr>
          <w:rFonts w:ascii="Arial" w:hAnsi="Arial" w:cs="Arial"/>
          <w:color w:val="000000"/>
          <w:sz w:val="22"/>
          <w:szCs w:val="22"/>
        </w:rPr>
      </w:pPr>
      <w:r w:rsidRPr="005D570C">
        <w:rPr>
          <w:rFonts w:ascii="Arial" w:hAnsi="Arial" w:cs="Arial"/>
          <w:color w:val="000000"/>
          <w:sz w:val="22"/>
          <w:szCs w:val="22"/>
        </w:rPr>
        <w:t>Based on the available evidence tumour growth appear</w:t>
      </w:r>
      <w:r>
        <w:rPr>
          <w:rFonts w:ascii="Arial" w:hAnsi="Arial" w:cs="Arial"/>
          <w:color w:val="000000"/>
          <w:sz w:val="22"/>
          <w:szCs w:val="22"/>
        </w:rPr>
        <w:t>ed</w:t>
      </w:r>
      <w:r w:rsidRPr="005D570C">
        <w:rPr>
          <w:rFonts w:ascii="Arial" w:hAnsi="Arial" w:cs="Arial"/>
          <w:color w:val="000000"/>
          <w:sz w:val="22"/>
          <w:szCs w:val="22"/>
        </w:rPr>
        <w:t xml:space="preserve"> to follow an exponential type curve. However, a simple exponential growth model was deemed to be insufficient to explain observed characteristics of tumour growth; growth slows down as a tumour grows towards maximum possible size and growth rates vary by individual tumour. Using </w:t>
      </w:r>
      <w:proofErr w:type="spellStart"/>
      <w:r w:rsidRPr="005D570C">
        <w:rPr>
          <w:rFonts w:ascii="Arial" w:hAnsi="Arial" w:cs="Arial"/>
          <w:color w:val="000000"/>
          <w:sz w:val="22"/>
          <w:szCs w:val="22"/>
        </w:rPr>
        <w:t>Gompertz</w:t>
      </w:r>
      <w:proofErr w:type="spellEnd"/>
      <w:r w:rsidRPr="005D570C">
        <w:rPr>
          <w:rFonts w:ascii="Arial" w:hAnsi="Arial" w:cs="Arial"/>
          <w:color w:val="000000"/>
          <w:sz w:val="22"/>
          <w:szCs w:val="22"/>
        </w:rPr>
        <w:t xml:space="preserve"> and logistic functions allows for an exponential growth that slows towards a maximum size. These functions were therefore deemed to be more appropriate than the simple logistic function for simulating tumour growth. The screening model output will not be sensitive to the choice between </w:t>
      </w:r>
      <w:proofErr w:type="spellStart"/>
      <w:r w:rsidRPr="005D570C">
        <w:rPr>
          <w:rFonts w:ascii="Arial" w:hAnsi="Arial" w:cs="Arial"/>
          <w:color w:val="000000"/>
          <w:sz w:val="22"/>
          <w:szCs w:val="22"/>
        </w:rPr>
        <w:t>Gompertz</w:t>
      </w:r>
      <w:proofErr w:type="spellEnd"/>
      <w:r w:rsidRPr="005D570C">
        <w:rPr>
          <w:rFonts w:ascii="Arial" w:hAnsi="Arial" w:cs="Arial"/>
          <w:color w:val="000000"/>
          <w:sz w:val="22"/>
          <w:szCs w:val="22"/>
        </w:rPr>
        <w:t xml:space="preserve"> and logistic because both show near equivalent patterns of growth (see Figure </w:t>
      </w:r>
      <w:r>
        <w:rPr>
          <w:rFonts w:ascii="Arial" w:hAnsi="Arial" w:cs="Arial"/>
          <w:color w:val="000000"/>
          <w:sz w:val="22"/>
          <w:szCs w:val="22"/>
        </w:rPr>
        <w:t>A3.1</w:t>
      </w:r>
      <w:r w:rsidRPr="005D570C">
        <w:rPr>
          <w:rFonts w:ascii="Arial" w:hAnsi="Arial" w:cs="Arial"/>
          <w:color w:val="000000"/>
          <w:sz w:val="22"/>
          <w:szCs w:val="22"/>
        </w:rPr>
        <w:t xml:space="preserve">). The main region of difference close to the maximum tumour size is nearly irrelevant to screening models because almost all tumours are detected by screening or clinical signs before this size. </w:t>
      </w:r>
    </w:p>
    <w:p w:rsidR="00B5329C" w:rsidRPr="005D570C" w:rsidRDefault="00B5329C" w:rsidP="00B5329C">
      <w:pPr>
        <w:pStyle w:val="NormalWeb"/>
        <w:spacing w:before="0" w:beforeAutospacing="0" w:after="0" w:afterAutospacing="0"/>
        <w:rPr>
          <w:rFonts w:ascii="Arial" w:hAnsi="Arial" w:cs="Arial"/>
          <w:i/>
          <w:color w:val="000000"/>
          <w:sz w:val="22"/>
          <w:szCs w:val="22"/>
        </w:rPr>
      </w:pPr>
    </w:p>
    <w:p w:rsidR="00B5329C" w:rsidRPr="005D570C" w:rsidRDefault="00B5329C" w:rsidP="00B5329C">
      <w:pPr>
        <w:pStyle w:val="NormalWeb"/>
        <w:spacing w:before="0" w:beforeAutospacing="0" w:after="0" w:afterAutospacing="0"/>
        <w:rPr>
          <w:rFonts w:ascii="Arial" w:hAnsi="Arial" w:cs="Arial"/>
          <w:b/>
          <w:color w:val="000000"/>
          <w:sz w:val="22"/>
          <w:szCs w:val="22"/>
        </w:rPr>
      </w:pPr>
      <w:r>
        <w:rPr>
          <w:rFonts w:ascii="Arial" w:hAnsi="Arial" w:cs="Arial"/>
          <w:b/>
          <w:color w:val="000000"/>
          <w:sz w:val="22"/>
          <w:szCs w:val="22"/>
        </w:rPr>
        <w:t>Figure A3.1:</w:t>
      </w:r>
      <w:r w:rsidRPr="005D570C">
        <w:rPr>
          <w:rFonts w:ascii="Arial" w:hAnsi="Arial" w:cs="Arial"/>
          <w:b/>
          <w:color w:val="000000"/>
          <w:sz w:val="22"/>
          <w:szCs w:val="22"/>
        </w:rPr>
        <w:t xml:space="preserve"> </w:t>
      </w:r>
      <w:proofErr w:type="spellStart"/>
      <w:r w:rsidRPr="005D570C">
        <w:rPr>
          <w:rFonts w:ascii="Arial" w:hAnsi="Arial" w:cs="Arial"/>
          <w:b/>
          <w:color w:val="000000"/>
          <w:sz w:val="22"/>
          <w:szCs w:val="22"/>
        </w:rPr>
        <w:t>Gompertz</w:t>
      </w:r>
      <w:proofErr w:type="spellEnd"/>
      <w:r w:rsidRPr="005D570C">
        <w:rPr>
          <w:rFonts w:ascii="Arial" w:hAnsi="Arial" w:cs="Arial"/>
          <w:b/>
          <w:color w:val="000000"/>
          <w:sz w:val="22"/>
          <w:szCs w:val="22"/>
        </w:rPr>
        <w:t xml:space="preserve"> and logistic growth functions </w:t>
      </w:r>
    </w:p>
    <w:p w:rsidR="00B5329C" w:rsidRPr="005D570C" w:rsidRDefault="00B5329C" w:rsidP="00B5329C">
      <w:pPr>
        <w:pStyle w:val="NormalWeb"/>
        <w:spacing w:before="0" w:beforeAutospacing="0" w:after="0" w:afterAutospacing="0"/>
        <w:rPr>
          <w:rFonts w:ascii="Arial" w:hAnsi="Arial" w:cs="Arial"/>
          <w:sz w:val="22"/>
          <w:szCs w:val="22"/>
        </w:rPr>
      </w:pPr>
      <w:r w:rsidRPr="005D570C">
        <w:rPr>
          <w:rFonts w:ascii="Arial" w:hAnsi="Arial" w:cs="Arial"/>
          <w:noProof/>
          <w:color w:val="000000"/>
          <w:sz w:val="22"/>
          <w:szCs w:val="22"/>
          <w:lang w:eastAsia="en-GB"/>
        </w:rPr>
        <w:drawing>
          <wp:inline distT="0" distB="0" distL="0" distR="0" wp14:anchorId="3D497961" wp14:editId="46C255FB">
            <wp:extent cx="2790825" cy="2464412"/>
            <wp:effectExtent l="0" t="0" r="0" b="0"/>
            <wp:docPr id="7" name="Picture 7" descr="https://lh4.googleusercontent.com/ztX9DpUdjQsWNTJjaAPPn4NqH2wN_tUBDIUobM5gr29iAGnFcYU0Zp3OgrsOQVIP188mQXqarAc48eD0N8eXlNIKlrcZLXA30N8nChgUN-7FDgodFpm6nD3m_YYPigkbVmsbO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ztX9DpUdjQsWNTJjaAPPn4NqH2wN_tUBDIUobM5gr29iAGnFcYU0Zp3OgrsOQVIP188mQXqarAc48eD0N8eXlNIKlrcZLXA30N8nChgUN-7FDgodFpm6nD3m_YYPigkbVmsbO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0825" cy="2464412"/>
                    </a:xfrm>
                    <a:prstGeom prst="rect">
                      <a:avLst/>
                    </a:prstGeom>
                    <a:noFill/>
                    <a:ln>
                      <a:noFill/>
                    </a:ln>
                  </pic:spPr>
                </pic:pic>
              </a:graphicData>
            </a:graphic>
          </wp:inline>
        </w:drawing>
      </w:r>
      <w:r w:rsidRPr="005D570C">
        <w:rPr>
          <w:rFonts w:ascii="Arial" w:hAnsi="Arial" w:cs="Arial"/>
          <w:b/>
          <w:bCs/>
          <w:noProof/>
          <w:color w:val="000000"/>
          <w:sz w:val="22"/>
          <w:szCs w:val="22"/>
          <w:lang w:eastAsia="en-GB"/>
        </w:rPr>
        <w:drawing>
          <wp:inline distT="0" distB="0" distL="0" distR="0" wp14:anchorId="28694C8F" wp14:editId="6AAAE3A3">
            <wp:extent cx="2590800" cy="2515825"/>
            <wp:effectExtent l="0" t="0" r="0" b="0"/>
            <wp:docPr id="8" name="Picture 8" descr="https://lh4.googleusercontent.com/HcgmOlpsGYD6I8k5XDCdyT_lbJBjqf61Y6M76fGkbmsnEX1oGtZs48i-n_c3lYUKC861MOeobmkskuIXDQAwRVzmJTK1H5dR9Oy-RfETm6GHxoHkbpgL9jsRzLYge6OaoBQDE_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HcgmOlpsGYD6I8k5XDCdyT_lbJBjqf61Y6M76fGkbmsnEX1oGtZs48i-n_c3lYUKC861MOeobmkskuIXDQAwRVzmJTK1H5dR9Oy-RfETm6GHxoHkbpgL9jsRzLYge6OaoBQDE_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2515825"/>
                    </a:xfrm>
                    <a:prstGeom prst="rect">
                      <a:avLst/>
                    </a:prstGeom>
                    <a:noFill/>
                    <a:ln>
                      <a:noFill/>
                    </a:ln>
                  </pic:spPr>
                </pic:pic>
              </a:graphicData>
            </a:graphic>
          </wp:inline>
        </w:drawing>
      </w:r>
    </w:p>
    <w:p w:rsidR="00B5329C" w:rsidRPr="005D570C" w:rsidRDefault="00B5329C" w:rsidP="00B5329C">
      <w:pPr>
        <w:rPr>
          <w:rFonts w:cs="Arial"/>
          <w:color w:val="000000"/>
          <w:szCs w:val="22"/>
        </w:rPr>
      </w:pPr>
      <w:r w:rsidRPr="005D570C">
        <w:rPr>
          <w:rFonts w:cs="Arial"/>
          <w:color w:val="000000"/>
          <w:szCs w:val="22"/>
        </w:rPr>
        <w:t xml:space="preserve">An extension of continuous growth natural history models was considered to allow varying tumour growth rates by parameterising the distribution of growth rates in the population. This may be achieved by fitting more complex statistical models to cancer registry data from before and after screening programme initiation. A distribution such as normal or log-normal </w:t>
      </w:r>
      <w:r>
        <w:rPr>
          <w:rFonts w:cs="Arial"/>
          <w:color w:val="000000"/>
          <w:szCs w:val="22"/>
        </w:rPr>
        <w:t>wa</w:t>
      </w:r>
      <w:r w:rsidRPr="005D570C">
        <w:rPr>
          <w:rFonts w:cs="Arial"/>
          <w:color w:val="000000"/>
          <w:szCs w:val="22"/>
        </w:rPr>
        <w:t xml:space="preserve">s assumed for individual tumour growth rates. Random draws from the specified distribution can then be used in the growth simulation. This can more accurately reflect tumour growth across a population of cancer cases and therefore more accurately predict the effect of changing the screening programme. Therefore, this study used Norwegian cancer registry data from before and after the start of a population-based screening programme </w:t>
      </w:r>
      <w:r w:rsidRPr="005D570C">
        <w:rPr>
          <w:rFonts w:cs="Arial"/>
          <w:color w:val="000000"/>
          <w:szCs w:val="22"/>
        </w:rPr>
        <w:fldChar w:fldCharType="begin" w:fldLock="1"/>
      </w:r>
      <w:r w:rsidR="00E3289D">
        <w:rPr>
          <w:rFonts w:cs="Arial"/>
          <w:color w:val="000000"/>
          <w:szCs w:val="22"/>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properties":{"noteIndex":0},"schema":"https://github.com/citation-style-language/schema/raw/master/csl-citation.json"}</w:instrText>
      </w:r>
      <w:r w:rsidRPr="005D570C">
        <w:rPr>
          <w:rFonts w:cs="Arial"/>
          <w:color w:val="000000"/>
          <w:szCs w:val="22"/>
        </w:rPr>
        <w:fldChar w:fldCharType="separate"/>
      </w:r>
      <w:r w:rsidR="00E3289D" w:rsidRPr="00E3289D">
        <w:rPr>
          <w:rFonts w:cs="Arial"/>
          <w:noProof/>
          <w:color w:val="000000"/>
          <w:szCs w:val="22"/>
        </w:rPr>
        <w:t>[1]</w:t>
      </w:r>
      <w:r w:rsidRPr="005D570C">
        <w:rPr>
          <w:rFonts w:cs="Arial"/>
          <w:color w:val="000000"/>
          <w:szCs w:val="22"/>
        </w:rPr>
        <w:fldChar w:fldCharType="end"/>
      </w:r>
      <w:r w:rsidRPr="005D570C">
        <w:rPr>
          <w:rFonts w:cs="Arial"/>
          <w:color w:val="000000"/>
          <w:szCs w:val="22"/>
        </w:rPr>
        <w:t>. A logistic growth function was selected with individual variation in growth rates with a lognormal distribution</w:t>
      </w:r>
      <w:r>
        <w:rPr>
          <w:rFonts w:cs="Arial"/>
          <w:color w:val="000000"/>
          <w:szCs w:val="22"/>
        </w:rPr>
        <w:t xml:space="preserve"> using parameter values in Table A3.1</w:t>
      </w:r>
      <w:r w:rsidRPr="005D570C">
        <w:rPr>
          <w:rFonts w:cs="Arial"/>
          <w:color w:val="000000"/>
          <w:szCs w:val="22"/>
        </w:rPr>
        <w:t>.</w:t>
      </w:r>
    </w:p>
    <w:p w:rsidR="00B5329C" w:rsidRPr="005D570C" w:rsidRDefault="00B5329C" w:rsidP="00B5329C">
      <w:pPr>
        <w:rPr>
          <w:rFonts w:cs="Arial"/>
          <w:color w:val="000000"/>
          <w:szCs w:val="22"/>
        </w:rPr>
      </w:pPr>
    </w:p>
    <w:p w:rsidR="00B5329C" w:rsidRPr="005D570C" w:rsidRDefault="00B5329C" w:rsidP="00B5329C">
      <w:pPr>
        <w:pStyle w:val="NormalWeb"/>
        <w:spacing w:before="0" w:beforeAutospacing="0" w:after="0" w:afterAutospacing="0"/>
        <w:rPr>
          <w:rFonts w:ascii="Arial" w:hAnsi="Arial" w:cs="Arial"/>
          <w:b/>
          <w:color w:val="000000"/>
          <w:sz w:val="22"/>
          <w:szCs w:val="22"/>
        </w:rPr>
      </w:pPr>
      <w:r w:rsidRPr="005D570C">
        <w:rPr>
          <w:rFonts w:ascii="Arial" w:hAnsi="Arial" w:cs="Arial"/>
          <w:b/>
          <w:color w:val="000000"/>
          <w:sz w:val="22"/>
          <w:szCs w:val="22"/>
        </w:rPr>
        <w:t>Table A</w:t>
      </w:r>
      <w:r>
        <w:rPr>
          <w:rFonts w:ascii="Arial" w:hAnsi="Arial" w:cs="Arial"/>
          <w:b/>
          <w:color w:val="000000"/>
          <w:sz w:val="22"/>
          <w:szCs w:val="22"/>
        </w:rPr>
        <w:t>3</w:t>
      </w:r>
      <w:r w:rsidRPr="005D570C">
        <w:rPr>
          <w:rFonts w:ascii="Arial" w:hAnsi="Arial" w:cs="Arial"/>
          <w:b/>
          <w:color w:val="000000"/>
          <w:sz w:val="22"/>
          <w:szCs w:val="22"/>
        </w:rPr>
        <w:t>.1</w:t>
      </w:r>
      <w:r>
        <w:rPr>
          <w:rFonts w:ascii="Arial" w:hAnsi="Arial" w:cs="Arial"/>
          <w:b/>
          <w:color w:val="000000"/>
          <w:sz w:val="22"/>
          <w:szCs w:val="22"/>
        </w:rPr>
        <w:t>:</w:t>
      </w:r>
      <w:r w:rsidRPr="005D570C">
        <w:rPr>
          <w:rFonts w:ascii="Arial" w:hAnsi="Arial" w:cs="Arial"/>
          <w:b/>
          <w:color w:val="000000"/>
          <w:sz w:val="22"/>
          <w:szCs w:val="22"/>
        </w:rPr>
        <w:t xml:space="preserve"> Cancer growth rate parameters </w:t>
      </w:r>
    </w:p>
    <w:tbl>
      <w:tblPr>
        <w:tblStyle w:val="TableGrid"/>
        <w:tblW w:w="0" w:type="auto"/>
        <w:tblInd w:w="108" w:type="dxa"/>
        <w:tblLook w:val="04A0" w:firstRow="1" w:lastRow="0" w:firstColumn="1" w:lastColumn="0" w:noHBand="0" w:noVBand="1"/>
      </w:tblPr>
      <w:tblGrid>
        <w:gridCol w:w="4395"/>
        <w:gridCol w:w="4110"/>
      </w:tblGrid>
      <w:tr w:rsidR="00B5329C" w:rsidRPr="005D570C" w:rsidTr="00F505C7">
        <w:trPr>
          <w:trHeight w:val="539"/>
        </w:trPr>
        <w:tc>
          <w:tcPr>
            <w:tcW w:w="4395" w:type="dxa"/>
            <w:vAlign w:val="center"/>
          </w:tcPr>
          <w:p w:rsidR="00B5329C" w:rsidRPr="005D570C" w:rsidRDefault="00E3289D" w:rsidP="00F505C7">
            <w:pPr>
              <w:pStyle w:val="NormalWeb"/>
              <w:spacing w:before="0" w:beforeAutospacing="0" w:after="0" w:afterAutospacing="0"/>
              <w:rPr>
                <w:rFonts w:ascii="Arial" w:hAnsi="Arial" w:cs="Arial"/>
                <w:color w:val="000000"/>
                <w:sz w:val="22"/>
                <w:szCs w:val="22"/>
              </w:rPr>
            </w:pPr>
            <m:oMath>
              <m:sSub>
                <m:sSubPr>
                  <m:ctrlPr>
                    <w:rPr>
                      <w:rFonts w:ascii="Cambria Math" w:hAnsi="Cambria Math" w:cs="Arial"/>
                      <w:i/>
                      <w:color w:val="000000"/>
                      <w:sz w:val="22"/>
                      <w:szCs w:val="22"/>
                    </w:rPr>
                  </m:ctrlPr>
                </m:sSubPr>
                <m:e>
                  <m:r>
                    <w:rPr>
                      <w:rFonts w:ascii="Cambria Math" w:hAnsi="Cambria Math" w:cs="Arial"/>
                      <w:color w:val="000000"/>
                      <w:sz w:val="22"/>
                      <w:szCs w:val="22"/>
                    </w:rPr>
                    <m:t>V</m:t>
                  </m:r>
                </m:e>
                <m:sub>
                  <m:r>
                    <w:rPr>
                      <w:rFonts w:ascii="Cambria Math" w:hAnsi="Cambria Math" w:cs="Arial"/>
                      <w:color w:val="000000"/>
                      <w:sz w:val="22"/>
                      <w:szCs w:val="22"/>
                    </w:rPr>
                    <m:t>max</m:t>
                  </m:r>
                </m:sub>
              </m:sSub>
            </m:oMath>
            <w:r w:rsidR="00B5329C" w:rsidRPr="005D570C">
              <w:rPr>
                <w:rFonts w:ascii="Arial" w:hAnsi="Arial" w:cs="Arial"/>
                <w:color w:val="000000"/>
                <w:sz w:val="22"/>
                <w:szCs w:val="22"/>
              </w:rPr>
              <w:t xml:space="preserve"> (maximum tumour volume)</w:t>
            </w:r>
          </w:p>
        </w:tc>
        <w:tc>
          <w:tcPr>
            <w:tcW w:w="4110" w:type="dxa"/>
            <w:vAlign w:val="center"/>
          </w:tcPr>
          <w:p w:rsidR="00B5329C" w:rsidRPr="005D570C" w:rsidRDefault="00E3289D" w:rsidP="00F505C7">
            <w:pPr>
              <w:pStyle w:val="NormalWeb"/>
              <w:spacing w:before="0" w:beforeAutospacing="0" w:after="0" w:afterAutospacing="0"/>
              <w:rPr>
                <w:rFonts w:ascii="Arial" w:hAnsi="Arial" w:cs="Arial"/>
                <w:color w:val="000000"/>
                <w:sz w:val="22"/>
                <w:szCs w:val="22"/>
                <w:vertAlign w:val="superscript"/>
              </w:rPr>
            </w:pPr>
            <m:oMath>
              <m:f>
                <m:fPr>
                  <m:ctrlPr>
                    <w:rPr>
                      <w:rFonts w:ascii="Cambria Math" w:hAnsi="Cambria Math" w:cs="Arial"/>
                      <w:i/>
                      <w:color w:val="000000"/>
                      <w:sz w:val="22"/>
                      <w:szCs w:val="22"/>
                    </w:rPr>
                  </m:ctrlPr>
                </m:fPr>
                <m:num>
                  <m:r>
                    <w:rPr>
                      <w:rFonts w:ascii="Cambria Math" w:hAnsi="Cambria Math" w:cs="Arial"/>
                      <w:color w:val="000000"/>
                      <w:sz w:val="22"/>
                      <w:szCs w:val="22"/>
                    </w:rPr>
                    <m:t>4</m:t>
                  </m:r>
                </m:num>
                <m:den>
                  <m:r>
                    <w:rPr>
                      <w:rFonts w:ascii="Cambria Math" w:hAnsi="Cambria Math" w:cs="Arial"/>
                      <w:color w:val="000000"/>
                      <w:sz w:val="22"/>
                      <w:szCs w:val="22"/>
                    </w:rPr>
                    <m:t>3</m:t>
                  </m:r>
                </m:den>
              </m:f>
              <m:r>
                <w:rPr>
                  <w:rFonts w:ascii="Cambria Math" w:hAnsi="Cambria Math" w:cs="Arial"/>
                  <w:color w:val="000000"/>
                  <w:sz w:val="22"/>
                  <w:szCs w:val="22"/>
                </w:rPr>
                <m:t>π</m:t>
              </m:r>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f>
                        <m:fPr>
                          <m:type m:val="lin"/>
                          <m:ctrlPr>
                            <w:rPr>
                              <w:rFonts w:ascii="Cambria Math" w:hAnsi="Cambria Math" w:cs="Arial"/>
                              <w:i/>
                              <w:color w:val="000000"/>
                              <w:sz w:val="22"/>
                              <w:szCs w:val="22"/>
                            </w:rPr>
                          </m:ctrlPr>
                        </m:fPr>
                        <m:num>
                          <m:r>
                            <w:rPr>
                              <w:rFonts w:ascii="Cambria Math" w:hAnsi="Cambria Math" w:cs="Arial"/>
                              <w:color w:val="000000"/>
                              <w:sz w:val="22"/>
                              <w:szCs w:val="22"/>
                            </w:rPr>
                            <m:t>128</m:t>
                          </m:r>
                        </m:num>
                        <m:den>
                          <m:r>
                            <w:rPr>
                              <w:rFonts w:ascii="Cambria Math" w:hAnsi="Cambria Math" w:cs="Arial"/>
                              <w:color w:val="000000"/>
                              <w:sz w:val="22"/>
                              <w:szCs w:val="22"/>
                            </w:rPr>
                            <m:t>2</m:t>
                          </m:r>
                        </m:den>
                      </m:f>
                    </m:e>
                  </m:d>
                </m:e>
                <m:sup>
                  <m:r>
                    <w:rPr>
                      <w:rFonts w:ascii="Cambria Math" w:hAnsi="Cambria Math" w:cs="Arial"/>
                      <w:color w:val="000000"/>
                      <w:sz w:val="22"/>
                      <w:szCs w:val="22"/>
                    </w:rPr>
                    <m:t>3</m:t>
                  </m:r>
                </m:sup>
              </m:sSup>
            </m:oMath>
            <w:r w:rsidR="00B5329C" w:rsidRPr="005D570C">
              <w:rPr>
                <w:rFonts w:ascii="Arial" w:hAnsi="Arial" w:cs="Arial"/>
                <w:color w:val="000000"/>
                <w:sz w:val="22"/>
                <w:szCs w:val="22"/>
              </w:rPr>
              <w:t xml:space="preserve"> mm</w:t>
            </w:r>
            <w:r w:rsidR="00B5329C" w:rsidRPr="005D570C">
              <w:rPr>
                <w:rFonts w:ascii="Arial" w:hAnsi="Arial" w:cs="Arial"/>
                <w:color w:val="000000"/>
                <w:sz w:val="22"/>
                <w:szCs w:val="22"/>
                <w:vertAlign w:val="superscript"/>
              </w:rPr>
              <w:t>3</w:t>
            </w:r>
          </w:p>
        </w:tc>
      </w:tr>
      <w:tr w:rsidR="00B5329C" w:rsidRPr="005D570C" w:rsidTr="00F505C7">
        <w:trPr>
          <w:trHeight w:val="539"/>
        </w:trPr>
        <w:tc>
          <w:tcPr>
            <w:tcW w:w="4395" w:type="dxa"/>
            <w:vAlign w:val="center"/>
          </w:tcPr>
          <w:p w:rsidR="00B5329C" w:rsidRPr="005D570C" w:rsidRDefault="00E3289D" w:rsidP="00F505C7">
            <w:pPr>
              <w:pStyle w:val="NormalWeb"/>
              <w:spacing w:before="0" w:beforeAutospacing="0" w:after="0" w:afterAutospacing="0"/>
              <w:rPr>
                <w:rFonts w:ascii="Arial" w:hAnsi="Arial" w:cs="Arial"/>
                <w:color w:val="000000"/>
                <w:sz w:val="22"/>
                <w:szCs w:val="22"/>
              </w:rPr>
            </w:pPr>
            <m:oMath>
              <m:sSub>
                <m:sSubPr>
                  <m:ctrlPr>
                    <w:rPr>
                      <w:rFonts w:ascii="Cambria Math" w:hAnsi="Cambria Math" w:cs="Arial"/>
                      <w:i/>
                      <w:color w:val="000000"/>
                      <w:sz w:val="22"/>
                      <w:szCs w:val="22"/>
                    </w:rPr>
                  </m:ctrlPr>
                </m:sSubPr>
                <m:e>
                  <m:r>
                    <w:rPr>
                      <w:rFonts w:ascii="Cambria Math" w:hAnsi="Cambria Math" w:cs="Arial"/>
                      <w:color w:val="000000"/>
                      <w:sz w:val="22"/>
                      <w:szCs w:val="22"/>
                    </w:rPr>
                    <m:t>V</m:t>
                  </m:r>
                </m:e>
                <m:sub>
                  <m:r>
                    <w:rPr>
                      <w:rFonts w:ascii="Cambria Math" w:hAnsi="Cambria Math" w:cs="Arial"/>
                      <w:color w:val="000000"/>
                      <w:sz w:val="22"/>
                      <w:szCs w:val="22"/>
                    </w:rPr>
                    <m:t>cell</m:t>
                  </m:r>
                </m:sub>
              </m:sSub>
            </m:oMath>
            <w:r w:rsidR="00B5329C" w:rsidRPr="005D570C">
              <w:rPr>
                <w:rFonts w:ascii="Arial" w:hAnsi="Arial" w:cs="Arial"/>
                <w:color w:val="000000"/>
                <w:sz w:val="22"/>
                <w:szCs w:val="22"/>
              </w:rPr>
              <w:t>(initial tumour size, in theory one cell but in practice may be set to anything)</w:t>
            </w:r>
          </w:p>
        </w:tc>
        <w:tc>
          <w:tcPr>
            <w:tcW w:w="4110" w:type="dxa"/>
            <w:vAlign w:val="center"/>
          </w:tcPr>
          <w:p w:rsidR="00B5329C" w:rsidRPr="005D570C" w:rsidRDefault="00E3289D" w:rsidP="00F505C7">
            <w:pPr>
              <w:pStyle w:val="NormalWeb"/>
              <w:spacing w:before="0" w:beforeAutospacing="0" w:after="0" w:afterAutospacing="0"/>
              <w:rPr>
                <w:rFonts w:ascii="Arial" w:hAnsi="Arial" w:cs="Arial"/>
                <w:color w:val="000000"/>
                <w:sz w:val="22"/>
                <w:szCs w:val="22"/>
                <w:vertAlign w:val="superscript"/>
              </w:rPr>
            </w:pPr>
            <m:oMath>
              <m:f>
                <m:fPr>
                  <m:ctrlPr>
                    <w:rPr>
                      <w:rFonts w:ascii="Cambria Math" w:hAnsi="Cambria Math" w:cs="Arial"/>
                      <w:i/>
                      <w:color w:val="000000"/>
                      <w:sz w:val="22"/>
                      <w:szCs w:val="22"/>
                    </w:rPr>
                  </m:ctrlPr>
                </m:fPr>
                <m:num>
                  <m:r>
                    <w:rPr>
                      <w:rFonts w:ascii="Cambria Math" w:hAnsi="Cambria Math" w:cs="Arial"/>
                      <w:color w:val="000000"/>
                      <w:sz w:val="22"/>
                      <w:szCs w:val="22"/>
                    </w:rPr>
                    <m:t>4</m:t>
                  </m:r>
                </m:num>
                <m:den>
                  <m:r>
                    <w:rPr>
                      <w:rFonts w:ascii="Cambria Math" w:hAnsi="Cambria Math" w:cs="Arial"/>
                      <w:color w:val="000000"/>
                      <w:sz w:val="22"/>
                      <w:szCs w:val="22"/>
                    </w:rPr>
                    <m:t>3</m:t>
                  </m:r>
                </m:den>
              </m:f>
              <m:r>
                <w:rPr>
                  <w:rFonts w:ascii="Cambria Math" w:hAnsi="Cambria Math" w:cs="Arial"/>
                  <w:color w:val="000000"/>
                  <w:sz w:val="22"/>
                  <w:szCs w:val="22"/>
                </w:rPr>
                <m:t>π</m:t>
              </m:r>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f>
                        <m:fPr>
                          <m:type m:val="lin"/>
                          <m:ctrlPr>
                            <w:rPr>
                              <w:rFonts w:ascii="Cambria Math" w:hAnsi="Cambria Math" w:cs="Arial"/>
                              <w:i/>
                              <w:color w:val="000000"/>
                              <w:sz w:val="22"/>
                              <w:szCs w:val="22"/>
                            </w:rPr>
                          </m:ctrlPr>
                        </m:fPr>
                        <m:num>
                          <m:sSub>
                            <m:sSubPr>
                              <m:ctrlPr>
                                <w:rPr>
                                  <w:rFonts w:ascii="Cambria Math" w:hAnsi="Cambria Math" w:cs="Arial"/>
                                  <w:i/>
                                  <w:color w:val="000000"/>
                                  <w:sz w:val="22"/>
                                  <w:szCs w:val="22"/>
                                </w:rPr>
                              </m:ctrlPr>
                            </m:sSubPr>
                            <m:e>
                              <m:r>
                                <w:rPr>
                                  <w:rFonts w:ascii="Cambria Math" w:hAnsi="Cambria Math" w:cs="Arial"/>
                                  <w:color w:val="000000"/>
                                  <w:sz w:val="22"/>
                                  <w:szCs w:val="22"/>
                                </w:rPr>
                                <m:t>ω</m:t>
                              </m:r>
                            </m:e>
                            <m:sub>
                              <m:r>
                                <w:rPr>
                                  <w:rFonts w:ascii="Cambria Math" w:hAnsi="Cambria Math" w:cs="Arial"/>
                                  <w:color w:val="000000"/>
                                  <w:sz w:val="22"/>
                                  <w:szCs w:val="22"/>
                                </w:rPr>
                                <m:t>0</m:t>
                              </m:r>
                            </m:sub>
                          </m:sSub>
                        </m:num>
                        <m:den>
                          <m:r>
                            <w:rPr>
                              <w:rFonts w:ascii="Cambria Math" w:hAnsi="Cambria Math" w:cs="Arial"/>
                              <w:color w:val="000000"/>
                              <w:sz w:val="22"/>
                              <w:szCs w:val="22"/>
                            </w:rPr>
                            <m:t>2</m:t>
                          </m:r>
                        </m:den>
                      </m:f>
                    </m:e>
                  </m:d>
                </m:e>
                <m:sup>
                  <m:r>
                    <w:rPr>
                      <w:rFonts w:ascii="Cambria Math" w:hAnsi="Cambria Math" w:cs="Arial"/>
                      <w:color w:val="000000"/>
                      <w:sz w:val="22"/>
                      <w:szCs w:val="22"/>
                    </w:rPr>
                    <m:t>3</m:t>
                  </m:r>
                </m:sup>
              </m:sSup>
            </m:oMath>
            <w:r w:rsidR="00B5329C" w:rsidRPr="005D570C">
              <w:rPr>
                <w:rFonts w:ascii="Arial" w:hAnsi="Arial" w:cs="Arial"/>
                <w:color w:val="000000"/>
                <w:sz w:val="22"/>
                <w:szCs w:val="22"/>
              </w:rPr>
              <w:t>mm</w:t>
            </w:r>
            <w:r w:rsidR="00B5329C" w:rsidRPr="005D570C">
              <w:rPr>
                <w:rFonts w:ascii="Arial" w:hAnsi="Arial" w:cs="Arial"/>
                <w:color w:val="000000"/>
                <w:sz w:val="22"/>
                <w:szCs w:val="22"/>
                <w:vertAlign w:val="superscript"/>
              </w:rPr>
              <w:t>3</w:t>
            </w:r>
          </w:p>
        </w:tc>
      </w:tr>
      <w:tr w:rsidR="00B5329C" w:rsidRPr="005D570C" w:rsidTr="00F505C7">
        <w:trPr>
          <w:trHeight w:val="539"/>
        </w:trPr>
        <w:tc>
          <w:tcPr>
            <w:tcW w:w="4395" w:type="dxa"/>
            <w:vAlign w:val="center"/>
          </w:tcPr>
          <w:p w:rsidR="00B5329C" w:rsidRPr="005D570C" w:rsidRDefault="00E3289D" w:rsidP="00F505C7">
            <w:pPr>
              <w:pStyle w:val="NormalWeb"/>
              <w:spacing w:before="0" w:beforeAutospacing="0" w:after="0" w:afterAutospacing="0"/>
              <w:rPr>
                <w:rFonts w:ascii="Arial" w:hAnsi="Arial" w:cs="Arial"/>
                <w:color w:val="000000"/>
                <w:sz w:val="22"/>
                <w:szCs w:val="22"/>
              </w:rPr>
            </w:pPr>
            <m:oMath>
              <m:sSub>
                <m:sSubPr>
                  <m:ctrlPr>
                    <w:rPr>
                      <w:rFonts w:ascii="Cambria Math" w:hAnsi="Cambria Math" w:cs="Arial"/>
                      <w:i/>
                      <w:color w:val="000000"/>
                      <w:sz w:val="22"/>
                      <w:szCs w:val="22"/>
                    </w:rPr>
                  </m:ctrlPr>
                </m:sSubPr>
                <m:e>
                  <m:r>
                    <w:rPr>
                      <w:rFonts w:ascii="Cambria Math" w:hAnsi="Cambria Math" w:cs="Arial"/>
                      <w:color w:val="000000"/>
                      <w:sz w:val="22"/>
                      <w:szCs w:val="22"/>
                    </w:rPr>
                    <m:t>α</m:t>
                  </m:r>
                </m:e>
                <m:sub>
                  <m:r>
                    <w:rPr>
                      <w:rFonts w:ascii="Cambria Math" w:hAnsi="Cambria Math" w:cs="Arial"/>
                      <w:color w:val="000000"/>
                      <w:sz w:val="22"/>
                      <w:szCs w:val="22"/>
                    </w:rPr>
                    <m:t>1</m:t>
                  </m:r>
                </m:sub>
              </m:sSub>
            </m:oMath>
            <w:r w:rsidR="00B5329C" w:rsidRPr="005D570C">
              <w:rPr>
                <w:rFonts w:ascii="Arial" w:hAnsi="Arial" w:cs="Arial"/>
                <w:color w:val="000000"/>
                <w:sz w:val="22"/>
                <w:szCs w:val="22"/>
              </w:rPr>
              <w:t>(mean growth rate)</w:t>
            </w:r>
          </w:p>
        </w:tc>
        <w:tc>
          <w:tcPr>
            <w:tcW w:w="4110" w:type="dxa"/>
            <w:vAlign w:val="center"/>
          </w:tcPr>
          <w:p w:rsidR="00B5329C" w:rsidRPr="005D570C" w:rsidRDefault="00B5329C" w:rsidP="00F505C7">
            <w:pPr>
              <w:pStyle w:val="NormalWeb"/>
              <w:spacing w:before="0" w:beforeAutospacing="0" w:after="0" w:afterAutospacing="0"/>
              <w:rPr>
                <w:rFonts w:ascii="Arial" w:hAnsi="Arial" w:cs="Arial"/>
                <w:color w:val="000000"/>
                <w:sz w:val="22"/>
                <w:szCs w:val="22"/>
              </w:rPr>
            </w:pPr>
            <w:r w:rsidRPr="005D570C">
              <w:rPr>
                <w:rFonts w:ascii="Arial" w:hAnsi="Arial" w:cs="Arial"/>
                <w:color w:val="000000"/>
                <w:sz w:val="22"/>
                <w:szCs w:val="22"/>
              </w:rPr>
              <w:t xml:space="preserve">1.07 </w:t>
            </w:r>
          </w:p>
        </w:tc>
      </w:tr>
      <w:tr w:rsidR="00B5329C" w:rsidRPr="005D570C" w:rsidTr="00F505C7">
        <w:trPr>
          <w:trHeight w:val="539"/>
        </w:trPr>
        <w:tc>
          <w:tcPr>
            <w:tcW w:w="4395" w:type="dxa"/>
            <w:vAlign w:val="center"/>
          </w:tcPr>
          <w:p w:rsidR="00B5329C" w:rsidRPr="005D570C" w:rsidRDefault="00E3289D" w:rsidP="00F505C7">
            <w:pPr>
              <w:pStyle w:val="NormalWeb"/>
              <w:spacing w:before="0" w:beforeAutospacing="0" w:after="0" w:afterAutospacing="0"/>
              <w:rPr>
                <w:rFonts w:ascii="Arial" w:hAnsi="Arial" w:cs="Arial"/>
                <w:color w:val="000000"/>
                <w:sz w:val="22"/>
                <w:szCs w:val="22"/>
              </w:rPr>
            </w:pPr>
            <m:oMath>
              <m:sSub>
                <m:sSubPr>
                  <m:ctrlPr>
                    <w:rPr>
                      <w:rFonts w:ascii="Cambria Math" w:hAnsi="Cambria Math" w:cs="Arial"/>
                      <w:i/>
                      <w:color w:val="000000"/>
                      <w:sz w:val="22"/>
                      <w:szCs w:val="22"/>
                    </w:rPr>
                  </m:ctrlPr>
                </m:sSubPr>
                <m:e>
                  <m:r>
                    <w:rPr>
                      <w:rFonts w:ascii="Cambria Math" w:hAnsi="Cambria Math" w:cs="Arial"/>
                      <w:color w:val="000000"/>
                      <w:sz w:val="22"/>
                      <w:szCs w:val="22"/>
                    </w:rPr>
                    <m:t>α</m:t>
                  </m:r>
                </m:e>
                <m:sub>
                  <m:r>
                    <w:rPr>
                      <w:rFonts w:ascii="Cambria Math" w:hAnsi="Cambria Math" w:cs="Arial"/>
                      <w:color w:val="000000"/>
                      <w:sz w:val="22"/>
                      <w:szCs w:val="22"/>
                    </w:rPr>
                    <m:t>2</m:t>
                  </m:r>
                </m:sub>
              </m:sSub>
            </m:oMath>
            <w:r w:rsidR="00B5329C" w:rsidRPr="005D570C">
              <w:rPr>
                <w:rFonts w:ascii="Arial" w:hAnsi="Arial" w:cs="Arial"/>
                <w:color w:val="000000"/>
                <w:sz w:val="22"/>
                <w:szCs w:val="22"/>
              </w:rPr>
              <w:t xml:space="preserve"> (growth rate variance)</w:t>
            </w:r>
          </w:p>
        </w:tc>
        <w:tc>
          <w:tcPr>
            <w:tcW w:w="4110" w:type="dxa"/>
            <w:vAlign w:val="center"/>
          </w:tcPr>
          <w:p w:rsidR="00B5329C" w:rsidRPr="005D570C" w:rsidRDefault="00B5329C" w:rsidP="00F505C7">
            <w:pPr>
              <w:pStyle w:val="NormalWeb"/>
              <w:spacing w:before="0" w:beforeAutospacing="0" w:after="0" w:afterAutospacing="0"/>
              <w:rPr>
                <w:rFonts w:ascii="Arial" w:hAnsi="Arial" w:cs="Arial"/>
                <w:color w:val="000000"/>
                <w:sz w:val="22"/>
                <w:szCs w:val="22"/>
              </w:rPr>
            </w:pPr>
            <w:r w:rsidRPr="005D570C">
              <w:rPr>
                <w:rFonts w:ascii="Arial" w:hAnsi="Arial" w:cs="Arial"/>
                <w:color w:val="000000"/>
                <w:sz w:val="22"/>
                <w:szCs w:val="22"/>
              </w:rPr>
              <w:t xml:space="preserve">1.31 </w:t>
            </w:r>
          </w:p>
        </w:tc>
      </w:tr>
    </w:tbl>
    <w:p w:rsidR="00B5329C" w:rsidRPr="005D570C" w:rsidRDefault="00B5329C" w:rsidP="00B5329C">
      <w:pPr>
        <w:pStyle w:val="NormalWeb"/>
        <w:spacing w:before="0" w:beforeAutospacing="0" w:after="0" w:afterAutospacing="0"/>
        <w:rPr>
          <w:rFonts w:ascii="Arial" w:hAnsi="Arial" w:cs="Arial"/>
          <w:color w:val="000000"/>
          <w:sz w:val="22"/>
          <w:szCs w:val="22"/>
        </w:rPr>
      </w:pPr>
    </w:p>
    <w:p w:rsidR="00B5329C" w:rsidRDefault="00B5329C" w:rsidP="00B5329C">
      <w:pPr>
        <w:pStyle w:val="Heading3"/>
      </w:pPr>
      <w:r w:rsidRPr="005D570C">
        <w:lastRenderedPageBreak/>
        <w:t>Invasive cancers</w:t>
      </w:r>
    </w:p>
    <w:p w:rsidR="00B5329C" w:rsidRDefault="00B5329C" w:rsidP="00B5329C"/>
    <w:p w:rsidR="00B5329C" w:rsidRDefault="00B5329C" w:rsidP="00B5329C">
      <w:r>
        <w:t>Table A3.2 reports the probability of a tumour of a given size (maximum diameter in mm) being assigned to specific NPI category conditional on the tumour already being an invasive cancer.</w:t>
      </w:r>
    </w:p>
    <w:p w:rsidR="00B5329C" w:rsidRPr="00D96B78" w:rsidRDefault="00B5329C" w:rsidP="00B5329C"/>
    <w:p w:rsidR="00B5329C" w:rsidRPr="005D570C" w:rsidRDefault="00B5329C" w:rsidP="00B5329C">
      <w:pPr>
        <w:rPr>
          <w:rFonts w:cs="Arial"/>
          <w:b/>
          <w:szCs w:val="22"/>
        </w:rPr>
      </w:pPr>
      <w:r w:rsidRPr="005D570C">
        <w:rPr>
          <w:rFonts w:cs="Arial"/>
          <w:b/>
          <w:szCs w:val="22"/>
        </w:rPr>
        <w:t>Table A1.2 Probability of NPI category membership conditional on tumour size</w:t>
      </w:r>
    </w:p>
    <w:tbl>
      <w:tblPr>
        <w:tblW w:w="9030" w:type="dxa"/>
        <w:tblCellMar>
          <w:top w:w="15" w:type="dxa"/>
          <w:left w:w="15" w:type="dxa"/>
          <w:bottom w:w="15" w:type="dxa"/>
          <w:right w:w="15" w:type="dxa"/>
        </w:tblCellMar>
        <w:tblLook w:val="04A0" w:firstRow="1" w:lastRow="0" w:firstColumn="1" w:lastColumn="0" w:noHBand="0" w:noVBand="1"/>
      </w:tblPr>
      <w:tblGrid>
        <w:gridCol w:w="3134"/>
        <w:gridCol w:w="1806"/>
        <w:gridCol w:w="1966"/>
        <w:gridCol w:w="2124"/>
      </w:tblGrid>
      <w:tr w:rsidR="00B5329C" w:rsidRPr="005D570C" w:rsidTr="00F505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Size (mm)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NPI 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NPI II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NPI III</w:t>
            </w:r>
          </w:p>
        </w:tc>
      </w:tr>
      <w:tr w:rsidR="00B5329C" w:rsidRPr="005D570C" w:rsidTr="00F505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0.76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0.22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0.02</w:t>
            </w:r>
          </w:p>
        </w:tc>
      </w:tr>
      <w:tr w:rsidR="00B5329C" w:rsidRPr="005D570C" w:rsidTr="00F505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6-10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0.27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0.02</w:t>
            </w:r>
          </w:p>
        </w:tc>
      </w:tr>
      <w:tr w:rsidR="00B5329C" w:rsidRPr="005D570C" w:rsidTr="00F505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11-15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0.55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0.43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0.02</w:t>
            </w:r>
          </w:p>
        </w:tc>
      </w:tr>
      <w:tr w:rsidR="00B5329C" w:rsidRPr="005D570C" w:rsidTr="00F505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16-20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0.55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0.05</w:t>
            </w:r>
          </w:p>
        </w:tc>
      </w:tr>
      <w:tr w:rsidR="00B5329C" w:rsidRPr="005D570C" w:rsidTr="00F505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20-30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0.07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0.64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0.29</w:t>
            </w:r>
          </w:p>
        </w:tc>
      </w:tr>
      <w:tr w:rsidR="00B5329C" w:rsidRPr="005D570C" w:rsidTr="00F505C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&gt; 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0.06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5329C" w:rsidRPr="005D570C" w:rsidRDefault="00B5329C" w:rsidP="00F505C7">
            <w:pPr>
              <w:rPr>
                <w:rFonts w:cs="Arial"/>
                <w:szCs w:val="22"/>
              </w:rPr>
            </w:pPr>
            <w:r w:rsidRPr="005D570C">
              <w:rPr>
                <w:rFonts w:cs="Arial"/>
                <w:color w:val="000000"/>
                <w:szCs w:val="22"/>
              </w:rPr>
              <w:t>0.44</w:t>
            </w:r>
          </w:p>
        </w:tc>
      </w:tr>
    </w:tbl>
    <w:p w:rsidR="00B5329C" w:rsidRPr="005D570C" w:rsidRDefault="00B5329C" w:rsidP="00B5329C">
      <w:pPr>
        <w:pStyle w:val="NormalWeb"/>
        <w:spacing w:before="0" w:beforeAutospacing="0" w:after="0" w:afterAutospacing="0"/>
        <w:rPr>
          <w:rFonts w:ascii="Arial" w:hAnsi="Arial" w:cs="Arial"/>
          <w:sz w:val="22"/>
          <w:szCs w:val="22"/>
        </w:rPr>
      </w:pPr>
    </w:p>
    <w:p w:rsidR="00B5329C" w:rsidRDefault="00B5329C" w:rsidP="00B5329C">
      <w:pPr>
        <w:pStyle w:val="Heading3"/>
      </w:pPr>
      <w:r w:rsidRPr="005D570C">
        <w:t>Advanced breast cancer</w:t>
      </w:r>
    </w:p>
    <w:p w:rsidR="00B5329C" w:rsidRDefault="00B5329C" w:rsidP="00B5329C"/>
    <w:p w:rsidR="00B5329C" w:rsidRDefault="00B5329C" w:rsidP="00B5329C">
      <w:r>
        <w:t>Table A3.3 displays the probability of tumour being at an advanced stage at diagnosis conditional on the size of the tumour (maximum diameter in mm).</w:t>
      </w:r>
    </w:p>
    <w:p w:rsidR="00B5329C" w:rsidRPr="00D96B78" w:rsidRDefault="00B5329C" w:rsidP="00B5329C"/>
    <w:p w:rsidR="00B5329C" w:rsidRPr="005D570C" w:rsidRDefault="00B5329C" w:rsidP="00B5329C">
      <w:pPr>
        <w:pStyle w:val="NormalWeb"/>
        <w:spacing w:before="0" w:beforeAutospacing="0" w:after="0" w:afterAutospacing="0"/>
        <w:rPr>
          <w:rFonts w:ascii="Arial" w:hAnsi="Arial" w:cs="Arial"/>
          <w:b/>
          <w:sz w:val="22"/>
          <w:szCs w:val="22"/>
        </w:rPr>
      </w:pPr>
      <w:r w:rsidRPr="005D570C">
        <w:rPr>
          <w:rFonts w:ascii="Arial" w:hAnsi="Arial" w:cs="Arial"/>
          <w:b/>
          <w:sz w:val="22"/>
          <w:szCs w:val="22"/>
        </w:rPr>
        <w:t>Table A</w:t>
      </w:r>
      <w:r>
        <w:rPr>
          <w:rFonts w:ascii="Arial" w:hAnsi="Arial" w:cs="Arial"/>
          <w:b/>
          <w:sz w:val="22"/>
          <w:szCs w:val="22"/>
        </w:rPr>
        <w:t>3</w:t>
      </w:r>
      <w:r w:rsidRPr="005D570C">
        <w:rPr>
          <w:rFonts w:ascii="Arial" w:hAnsi="Arial" w:cs="Arial"/>
          <w:b/>
          <w:sz w:val="22"/>
          <w:szCs w:val="22"/>
        </w:rPr>
        <w:t>.3 Tumour size and probability of presenting at advanced (TNM: Stage IV) stage</w:t>
      </w:r>
    </w:p>
    <w:tbl>
      <w:tblPr>
        <w:tblStyle w:val="TableGrid"/>
        <w:tblW w:w="0" w:type="auto"/>
        <w:tblLook w:val="04A0" w:firstRow="1" w:lastRow="0" w:firstColumn="1" w:lastColumn="0" w:noHBand="0" w:noVBand="1"/>
      </w:tblPr>
      <w:tblGrid>
        <w:gridCol w:w="4506"/>
        <w:gridCol w:w="4510"/>
      </w:tblGrid>
      <w:tr w:rsidR="00B5329C" w:rsidRPr="005D570C" w:rsidTr="00F505C7">
        <w:tc>
          <w:tcPr>
            <w:tcW w:w="4643" w:type="dxa"/>
            <w:vAlign w:val="center"/>
          </w:tcPr>
          <w:p w:rsidR="00B5329C" w:rsidRPr="005D570C" w:rsidRDefault="00B5329C" w:rsidP="00F505C7">
            <w:pPr>
              <w:jc w:val="center"/>
              <w:rPr>
                <w:rFonts w:cs="Arial"/>
                <w:color w:val="000000"/>
                <w:sz w:val="22"/>
                <w:szCs w:val="22"/>
              </w:rPr>
            </w:pPr>
            <w:r w:rsidRPr="005D570C">
              <w:rPr>
                <w:rFonts w:cs="Arial"/>
                <w:color w:val="000000"/>
                <w:sz w:val="22"/>
                <w:szCs w:val="22"/>
              </w:rPr>
              <w:t>Tumour Size (mm, max diameter)</w:t>
            </w:r>
          </w:p>
        </w:tc>
        <w:tc>
          <w:tcPr>
            <w:tcW w:w="4643" w:type="dxa"/>
            <w:vAlign w:val="center"/>
          </w:tcPr>
          <w:p w:rsidR="00B5329C" w:rsidRPr="005D570C" w:rsidRDefault="00B5329C" w:rsidP="00F505C7">
            <w:pPr>
              <w:jc w:val="center"/>
              <w:rPr>
                <w:rFonts w:cs="Arial"/>
                <w:color w:val="000000"/>
                <w:sz w:val="22"/>
                <w:szCs w:val="22"/>
              </w:rPr>
            </w:pPr>
            <w:r w:rsidRPr="005D570C">
              <w:rPr>
                <w:rFonts w:cs="Arial"/>
                <w:color w:val="000000"/>
                <w:sz w:val="22"/>
                <w:szCs w:val="22"/>
              </w:rPr>
              <w:t>Probability of presenting at advanced stage</w:t>
            </w:r>
          </w:p>
        </w:tc>
      </w:tr>
      <w:tr w:rsidR="00B5329C" w:rsidRPr="005D570C" w:rsidTr="00F505C7">
        <w:tc>
          <w:tcPr>
            <w:tcW w:w="4643" w:type="dxa"/>
            <w:vAlign w:val="center"/>
          </w:tcPr>
          <w:p w:rsidR="00B5329C" w:rsidRPr="005D570C" w:rsidRDefault="00B5329C" w:rsidP="00F505C7">
            <w:pPr>
              <w:jc w:val="center"/>
              <w:rPr>
                <w:rFonts w:cs="Arial"/>
                <w:color w:val="000000"/>
                <w:sz w:val="22"/>
                <w:szCs w:val="22"/>
              </w:rPr>
            </w:pPr>
            <w:r w:rsidRPr="005D570C">
              <w:rPr>
                <w:rFonts w:cs="Arial"/>
                <w:color w:val="000000"/>
                <w:sz w:val="22"/>
                <w:szCs w:val="22"/>
              </w:rPr>
              <w:t>&lt;25</w:t>
            </w:r>
          </w:p>
        </w:tc>
        <w:tc>
          <w:tcPr>
            <w:tcW w:w="4643" w:type="dxa"/>
            <w:vAlign w:val="center"/>
          </w:tcPr>
          <w:p w:rsidR="00B5329C" w:rsidRPr="005D570C" w:rsidRDefault="00B5329C" w:rsidP="00F505C7">
            <w:pPr>
              <w:jc w:val="center"/>
              <w:rPr>
                <w:rFonts w:cs="Arial"/>
                <w:color w:val="000000"/>
                <w:sz w:val="22"/>
                <w:szCs w:val="22"/>
              </w:rPr>
            </w:pPr>
            <w:r w:rsidRPr="005D570C">
              <w:rPr>
                <w:rFonts w:cs="Arial"/>
                <w:color w:val="000000"/>
                <w:sz w:val="22"/>
                <w:szCs w:val="22"/>
              </w:rPr>
              <w:t>0.046</w:t>
            </w:r>
          </w:p>
        </w:tc>
      </w:tr>
      <w:tr w:rsidR="00B5329C" w:rsidRPr="005D570C" w:rsidTr="00F505C7">
        <w:tc>
          <w:tcPr>
            <w:tcW w:w="4643" w:type="dxa"/>
            <w:vAlign w:val="center"/>
          </w:tcPr>
          <w:p w:rsidR="00B5329C" w:rsidRPr="005D570C" w:rsidRDefault="00B5329C" w:rsidP="00F505C7">
            <w:pPr>
              <w:jc w:val="center"/>
              <w:rPr>
                <w:rFonts w:cs="Arial"/>
                <w:color w:val="000000"/>
                <w:sz w:val="22"/>
                <w:szCs w:val="22"/>
              </w:rPr>
            </w:pPr>
            <w:r w:rsidRPr="005D570C">
              <w:rPr>
                <w:rFonts w:cs="Arial"/>
                <w:color w:val="000000"/>
                <w:sz w:val="22"/>
                <w:szCs w:val="22"/>
              </w:rPr>
              <w:t>35</w:t>
            </w:r>
          </w:p>
        </w:tc>
        <w:tc>
          <w:tcPr>
            <w:tcW w:w="4643" w:type="dxa"/>
            <w:vAlign w:val="center"/>
          </w:tcPr>
          <w:p w:rsidR="00B5329C" w:rsidRPr="005D570C" w:rsidRDefault="00B5329C" w:rsidP="00F505C7">
            <w:pPr>
              <w:jc w:val="center"/>
              <w:rPr>
                <w:rFonts w:cs="Arial"/>
                <w:color w:val="000000"/>
                <w:sz w:val="22"/>
                <w:szCs w:val="22"/>
              </w:rPr>
            </w:pPr>
            <w:r w:rsidRPr="005D570C">
              <w:rPr>
                <w:rFonts w:cs="Arial"/>
                <w:color w:val="000000"/>
                <w:sz w:val="22"/>
                <w:szCs w:val="22"/>
              </w:rPr>
              <w:t>0.087</w:t>
            </w:r>
          </w:p>
        </w:tc>
      </w:tr>
      <w:tr w:rsidR="00B5329C" w:rsidRPr="005D570C" w:rsidTr="00F505C7">
        <w:tc>
          <w:tcPr>
            <w:tcW w:w="4643" w:type="dxa"/>
            <w:vAlign w:val="center"/>
          </w:tcPr>
          <w:p w:rsidR="00B5329C" w:rsidRPr="005D570C" w:rsidRDefault="00B5329C" w:rsidP="00F505C7">
            <w:pPr>
              <w:jc w:val="center"/>
              <w:rPr>
                <w:rFonts w:cs="Arial"/>
                <w:color w:val="000000"/>
                <w:sz w:val="22"/>
                <w:szCs w:val="22"/>
              </w:rPr>
            </w:pPr>
            <w:r w:rsidRPr="005D570C">
              <w:rPr>
                <w:rFonts w:cs="Arial"/>
                <w:color w:val="000000"/>
                <w:sz w:val="22"/>
                <w:szCs w:val="22"/>
              </w:rPr>
              <w:t>45</w:t>
            </w:r>
          </w:p>
        </w:tc>
        <w:tc>
          <w:tcPr>
            <w:tcW w:w="4643" w:type="dxa"/>
            <w:vAlign w:val="center"/>
          </w:tcPr>
          <w:p w:rsidR="00B5329C" w:rsidRPr="005D570C" w:rsidRDefault="00B5329C" w:rsidP="00F505C7">
            <w:pPr>
              <w:jc w:val="center"/>
              <w:rPr>
                <w:rFonts w:cs="Arial"/>
                <w:color w:val="000000"/>
                <w:sz w:val="22"/>
                <w:szCs w:val="22"/>
              </w:rPr>
            </w:pPr>
            <w:r w:rsidRPr="005D570C">
              <w:rPr>
                <w:rFonts w:cs="Arial"/>
                <w:color w:val="000000"/>
                <w:sz w:val="22"/>
                <w:szCs w:val="22"/>
              </w:rPr>
              <w:t>0.110</w:t>
            </w:r>
          </w:p>
        </w:tc>
      </w:tr>
      <w:tr w:rsidR="00B5329C" w:rsidRPr="005D570C" w:rsidTr="00F505C7">
        <w:tc>
          <w:tcPr>
            <w:tcW w:w="4643" w:type="dxa"/>
            <w:vAlign w:val="center"/>
          </w:tcPr>
          <w:p w:rsidR="00B5329C" w:rsidRPr="005D570C" w:rsidRDefault="00B5329C" w:rsidP="00F505C7">
            <w:pPr>
              <w:jc w:val="center"/>
              <w:rPr>
                <w:rFonts w:cs="Arial"/>
                <w:color w:val="000000"/>
                <w:sz w:val="22"/>
                <w:szCs w:val="22"/>
              </w:rPr>
            </w:pPr>
            <w:r w:rsidRPr="005D570C">
              <w:rPr>
                <w:rFonts w:cs="Arial"/>
                <w:color w:val="000000"/>
                <w:sz w:val="22"/>
                <w:szCs w:val="22"/>
              </w:rPr>
              <w:t>55</w:t>
            </w:r>
          </w:p>
        </w:tc>
        <w:tc>
          <w:tcPr>
            <w:tcW w:w="4643" w:type="dxa"/>
            <w:vAlign w:val="center"/>
          </w:tcPr>
          <w:p w:rsidR="00B5329C" w:rsidRPr="005D570C" w:rsidRDefault="00B5329C" w:rsidP="00F505C7">
            <w:pPr>
              <w:jc w:val="center"/>
              <w:rPr>
                <w:rFonts w:cs="Arial"/>
                <w:color w:val="000000"/>
                <w:sz w:val="22"/>
                <w:szCs w:val="22"/>
              </w:rPr>
            </w:pPr>
            <w:r w:rsidRPr="005D570C">
              <w:rPr>
                <w:rFonts w:cs="Arial"/>
                <w:color w:val="000000"/>
                <w:sz w:val="22"/>
                <w:szCs w:val="22"/>
              </w:rPr>
              <w:t>0.127</w:t>
            </w:r>
          </w:p>
        </w:tc>
      </w:tr>
      <w:tr w:rsidR="00B5329C" w:rsidRPr="005D570C" w:rsidTr="00F505C7">
        <w:tc>
          <w:tcPr>
            <w:tcW w:w="4643" w:type="dxa"/>
            <w:vAlign w:val="center"/>
          </w:tcPr>
          <w:p w:rsidR="00B5329C" w:rsidRPr="005D570C" w:rsidRDefault="00B5329C" w:rsidP="00F505C7">
            <w:pPr>
              <w:jc w:val="center"/>
              <w:rPr>
                <w:rFonts w:cs="Arial"/>
                <w:color w:val="000000"/>
                <w:sz w:val="22"/>
                <w:szCs w:val="22"/>
              </w:rPr>
            </w:pPr>
            <w:r w:rsidRPr="005D570C">
              <w:rPr>
                <w:rFonts w:cs="Arial"/>
                <w:color w:val="000000"/>
                <w:sz w:val="22"/>
                <w:szCs w:val="22"/>
              </w:rPr>
              <w:t>65</w:t>
            </w:r>
          </w:p>
        </w:tc>
        <w:tc>
          <w:tcPr>
            <w:tcW w:w="4643" w:type="dxa"/>
            <w:vAlign w:val="center"/>
          </w:tcPr>
          <w:p w:rsidR="00B5329C" w:rsidRPr="005D570C" w:rsidRDefault="00B5329C" w:rsidP="00F505C7">
            <w:pPr>
              <w:jc w:val="center"/>
              <w:rPr>
                <w:rFonts w:cs="Arial"/>
                <w:color w:val="000000"/>
                <w:sz w:val="22"/>
                <w:szCs w:val="22"/>
              </w:rPr>
            </w:pPr>
            <w:r w:rsidRPr="005D570C">
              <w:rPr>
                <w:rFonts w:cs="Arial"/>
                <w:color w:val="000000"/>
                <w:sz w:val="22"/>
                <w:szCs w:val="22"/>
              </w:rPr>
              <w:t>0.143</w:t>
            </w:r>
          </w:p>
        </w:tc>
      </w:tr>
      <w:tr w:rsidR="00B5329C" w:rsidRPr="005D570C" w:rsidTr="00F505C7">
        <w:tc>
          <w:tcPr>
            <w:tcW w:w="4643" w:type="dxa"/>
            <w:vAlign w:val="center"/>
          </w:tcPr>
          <w:p w:rsidR="00B5329C" w:rsidRPr="005D570C" w:rsidRDefault="00B5329C" w:rsidP="00F505C7">
            <w:pPr>
              <w:jc w:val="center"/>
              <w:rPr>
                <w:rFonts w:cs="Arial"/>
                <w:color w:val="000000"/>
                <w:sz w:val="22"/>
                <w:szCs w:val="22"/>
              </w:rPr>
            </w:pPr>
            <w:r w:rsidRPr="005D570C">
              <w:rPr>
                <w:rFonts w:cs="Arial"/>
                <w:color w:val="000000"/>
                <w:sz w:val="22"/>
                <w:szCs w:val="22"/>
              </w:rPr>
              <w:t>75+</w:t>
            </w:r>
          </w:p>
        </w:tc>
        <w:tc>
          <w:tcPr>
            <w:tcW w:w="4643" w:type="dxa"/>
            <w:vAlign w:val="center"/>
          </w:tcPr>
          <w:p w:rsidR="00B5329C" w:rsidRPr="005D570C" w:rsidRDefault="00B5329C" w:rsidP="00F505C7">
            <w:pPr>
              <w:jc w:val="center"/>
              <w:rPr>
                <w:rFonts w:cs="Arial"/>
                <w:color w:val="000000"/>
                <w:sz w:val="22"/>
                <w:szCs w:val="22"/>
              </w:rPr>
            </w:pPr>
            <w:r w:rsidRPr="005D570C">
              <w:rPr>
                <w:rFonts w:cs="Arial"/>
                <w:color w:val="000000"/>
                <w:sz w:val="22"/>
                <w:szCs w:val="22"/>
              </w:rPr>
              <w:t>0.160</w:t>
            </w:r>
          </w:p>
        </w:tc>
      </w:tr>
    </w:tbl>
    <w:p w:rsidR="00EF02A5" w:rsidRDefault="00E3289D"/>
    <w:p w:rsidR="00E3289D" w:rsidRDefault="00E3289D">
      <w:r>
        <w:t>References</w:t>
      </w:r>
      <w:bookmarkStart w:id="0" w:name="_GoBack"/>
      <w:bookmarkEnd w:id="0"/>
    </w:p>
    <w:p w:rsidR="00E3289D" w:rsidRDefault="00E3289D"/>
    <w:p w:rsidR="00E3289D" w:rsidRPr="00E3289D" w:rsidRDefault="00E3289D" w:rsidP="00E3289D">
      <w:pPr>
        <w:widowControl w:val="0"/>
        <w:autoSpaceDE w:val="0"/>
        <w:autoSpaceDN w:val="0"/>
        <w:adjustRightInd w:val="0"/>
        <w:ind w:left="640" w:hanging="640"/>
        <w:rPr>
          <w:rFonts w:cs="Arial"/>
          <w:noProof/>
        </w:rPr>
      </w:pPr>
      <w:r>
        <w:fldChar w:fldCharType="begin" w:fldLock="1"/>
      </w:r>
      <w:r>
        <w:instrText xml:space="preserve">ADDIN Mendeley Bibliography CSL_BIBLIOGRAPHY </w:instrText>
      </w:r>
      <w:r>
        <w:fldChar w:fldCharType="separate"/>
      </w:r>
      <w:r w:rsidRPr="00E3289D">
        <w:rPr>
          <w:rFonts w:cs="Arial"/>
          <w:noProof/>
        </w:rPr>
        <w:t>[1]</w:t>
      </w:r>
      <w:r w:rsidRPr="00E3289D">
        <w:rPr>
          <w:rFonts w:cs="Arial"/>
          <w:noProof/>
        </w:rPr>
        <w:tab/>
        <w:t>H. Weedon-Fekjær, B.H. Lindqvist, L.J. Vatten, O.O. Aalen, S. Tretli, Breast cancer tumor growth estimated through mammography screening data, Breast Cancer Res. 10 (2008) R41. https://doi.org/10.1186/BCR2092.</w:t>
      </w:r>
    </w:p>
    <w:p w:rsidR="00E3289D" w:rsidRDefault="00E3289D">
      <w:r>
        <w:fldChar w:fldCharType="end"/>
      </w:r>
    </w:p>
    <w:sectPr w:rsidR="00E32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29C"/>
    <w:rsid w:val="003C3D5F"/>
    <w:rsid w:val="007C5531"/>
    <w:rsid w:val="00B5329C"/>
    <w:rsid w:val="00E328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6952"/>
  <w15:chartTrackingRefBased/>
  <w15:docId w15:val="{D45E132F-9E2F-4241-82CD-2271A271A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29C"/>
    <w:pPr>
      <w:spacing w:after="0" w:line="240" w:lineRule="auto"/>
    </w:pPr>
    <w:rPr>
      <w:rFonts w:ascii="Arial" w:eastAsiaTheme="minorEastAsia" w:hAnsi="Arial" w:cs="Times New Roman"/>
      <w:szCs w:val="24"/>
      <w:lang w:eastAsia="en-GB"/>
    </w:rPr>
  </w:style>
  <w:style w:type="paragraph" w:styleId="Heading2">
    <w:name w:val="heading 2"/>
    <w:basedOn w:val="Normal"/>
    <w:next w:val="Normal"/>
    <w:link w:val="Heading2Char"/>
    <w:unhideWhenUsed/>
    <w:qFormat/>
    <w:rsid w:val="00B5329C"/>
    <w:pPr>
      <w:keepNext/>
      <w:keepLines/>
      <w:spacing w:before="200"/>
      <w:outlineLvl w:val="1"/>
    </w:pPr>
    <w:rPr>
      <w:rFonts w:eastAsiaTheme="majorEastAsia" w:cstheme="majorBidi"/>
      <w:b/>
      <w:bCs/>
      <w:color w:val="000000" w:themeColor="text1"/>
      <w:sz w:val="24"/>
      <w:szCs w:val="26"/>
    </w:rPr>
  </w:style>
  <w:style w:type="paragraph" w:styleId="Heading3">
    <w:name w:val="heading 3"/>
    <w:basedOn w:val="Normal"/>
    <w:next w:val="Normal"/>
    <w:link w:val="Heading3Char"/>
    <w:unhideWhenUsed/>
    <w:qFormat/>
    <w:rsid w:val="00B5329C"/>
    <w:pPr>
      <w:keepNext/>
      <w:keepLines/>
      <w:spacing w:before="20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5329C"/>
    <w:rPr>
      <w:rFonts w:ascii="Arial" w:eastAsiaTheme="majorEastAsia" w:hAnsi="Arial" w:cstheme="majorBidi"/>
      <w:b/>
      <w:bCs/>
      <w:color w:val="000000" w:themeColor="text1"/>
      <w:sz w:val="24"/>
      <w:szCs w:val="26"/>
      <w:lang w:eastAsia="en-GB"/>
    </w:rPr>
  </w:style>
  <w:style w:type="character" w:customStyle="1" w:styleId="Heading3Char">
    <w:name w:val="Heading 3 Char"/>
    <w:basedOn w:val="DefaultParagraphFont"/>
    <w:link w:val="Heading3"/>
    <w:rsid w:val="00B5329C"/>
    <w:rPr>
      <w:rFonts w:ascii="Arial" w:eastAsiaTheme="minorEastAsia" w:hAnsi="Arial" w:cs="Arial"/>
      <w:b/>
      <w:bCs/>
      <w:szCs w:val="26"/>
      <w:lang w:eastAsia="en-GB"/>
    </w:rPr>
  </w:style>
  <w:style w:type="table" w:styleId="TableGrid">
    <w:name w:val="Table Grid"/>
    <w:basedOn w:val="TableNormal"/>
    <w:rsid w:val="00B5329C"/>
    <w:pPr>
      <w:spacing w:after="0" w:line="240" w:lineRule="auto"/>
    </w:pPr>
    <w:rPr>
      <w:rFonts w:ascii="Times New Roman" w:eastAsiaTheme="minorEastAsia"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5329C"/>
    <w:pPr>
      <w:spacing w:before="100" w:beforeAutospacing="1" w:after="100" w:afterAutospacing="1"/>
    </w:pPr>
    <w:rPr>
      <w:rFonts w:ascii="Times New Roman" w:hAnsi="Times New Roman"/>
      <w:sz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FF2FC-1C7D-4D64-87BB-7D78D9717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Wright</dc:creator>
  <cp:keywords/>
  <dc:description/>
  <cp:lastModifiedBy>Stuart Wright</cp:lastModifiedBy>
  <cp:revision>2</cp:revision>
  <dcterms:created xsi:type="dcterms:W3CDTF">2022-05-23T12:50:00Z</dcterms:created>
  <dcterms:modified xsi:type="dcterms:W3CDTF">2022-08-11T10:12:00Z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http://www.zotero.org/styles/bmc-psychiatry</vt:lpwstr>
  </property>
  <property fmtid="{D5CDD505-2E9C-101B-9397-08002B2CF9AE}" pid="9" name="Mendeley Recent Style Name 3_1">
    <vt:lpwstr>BMC Psychiatry</vt:lpwstr>
  </property>
  <property fmtid="{D5CDD505-2E9C-101B-9397-08002B2CF9AE}" pid="10" name="Mendeley Recent Style Id 4_1">
    <vt:lpwstr>http://csl.mendeley.com/styles/24667271/MJthesis-BMJ</vt:lpwstr>
  </property>
  <property fmtid="{D5CDD505-2E9C-101B-9397-08002B2CF9AE}" pid="11" name="Mendeley Recent Style Name 4_1">
    <vt:lpwstr>BMJ - Meghna Jani</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http://www.zotero.org/styles/patient-education-and-counseling</vt:lpwstr>
  </property>
  <property fmtid="{D5CDD505-2E9C-101B-9397-08002B2CF9AE}" pid="17" name="Mendeley Recent Style Name 7_1">
    <vt:lpwstr>Patient Education and Counseling</vt:lpwstr>
  </property>
  <property fmtid="{D5CDD505-2E9C-101B-9397-08002B2CF9AE}" pid="18" name="Mendeley Recent Style Id 8_1">
    <vt:lpwstr>http://csl.mendeley.com/styles/8053533/sage-vancouver-vass</vt:lpwstr>
  </property>
  <property fmtid="{D5CDD505-2E9C-101B-9397-08002B2CF9AE}" pid="19" name="Mendeley Recent Style Name 8_1">
    <vt:lpwstr>SAGE Vancouver - Caroline Vass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82604563-cd4a-3833-a654-4d96638c2403</vt:lpwstr>
  </property>
  <property fmtid="{D5CDD505-2E9C-101B-9397-08002B2CF9AE}" pid="24" name="Mendeley Citation Style_1">
    <vt:lpwstr>http://www.zotero.org/styles/patient-education-and-counseling</vt:lpwstr>
  </property>
</Properties>
</file>