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B1DF" w14:textId="14D901CB" w:rsidR="00C16384" w:rsidRDefault="00C16384" w:rsidP="00C16384">
      <w:pPr>
        <w:rPr>
          <w:rFonts w:ascii="Tw Cen MT" w:hAnsi="Tw Cen MT" w:cs="Tahoma"/>
          <w:b/>
          <w:sz w:val="44"/>
        </w:rPr>
      </w:pPr>
      <w:r>
        <w:rPr>
          <w:rFonts w:ascii="Tw Cen MT" w:hAnsi="Tw Cen MT" w:cs="Tahoma"/>
          <w:b/>
          <w:sz w:val="44"/>
        </w:rPr>
        <w:t>The coloured sushi bars</w:t>
      </w:r>
    </w:p>
    <w:p w14:paraId="64268B22" w14:textId="1E635F7D" w:rsidR="009B79AA" w:rsidRPr="009B79AA" w:rsidRDefault="009B79AA" w:rsidP="00C16384">
      <w:pPr>
        <w:rPr>
          <w:rFonts w:ascii="Tw Cen MT" w:hAnsi="Tw Cen MT" w:cs="Tahoma"/>
          <w:b/>
          <w:sz w:val="24"/>
        </w:rPr>
      </w:pPr>
      <w:r>
        <w:rPr>
          <w:rFonts w:ascii="Tw Cen MT" w:hAnsi="Tw Cen MT" w:cs="Tahoma"/>
          <w:b/>
          <w:sz w:val="24"/>
        </w:rPr>
        <w:t>1</w:t>
      </w:r>
      <w:r w:rsidRPr="009B79AA">
        <w:rPr>
          <w:rFonts w:ascii="Tw Cen MT" w:hAnsi="Tw Cen MT" w:cs="Tahoma"/>
          <w:b/>
          <w:sz w:val="24"/>
          <w:vertAlign w:val="superscript"/>
        </w:rPr>
        <w:t>st</w:t>
      </w:r>
      <w:r>
        <w:rPr>
          <w:rFonts w:ascii="Tw Cen MT" w:hAnsi="Tw Cen MT" w:cs="Tahoma"/>
          <w:b/>
          <w:sz w:val="24"/>
        </w:rPr>
        <w:t xml:space="preserve"> concepts</w:t>
      </w:r>
    </w:p>
    <w:p w14:paraId="7B6ACECB" w14:textId="51D15A14" w:rsidR="00C16384" w:rsidRDefault="00C16384">
      <w:r>
        <w:t xml:space="preserve"> </w:t>
      </w:r>
      <w:r>
        <w:rPr>
          <w:rFonts w:ascii="Tw Cen MT" w:hAnsi="Tw Cen MT" w:cs="Tahoma"/>
          <w:b/>
          <w:noProof/>
          <w:sz w:val="24"/>
        </w:rPr>
        <w:drawing>
          <wp:inline distT="0" distB="0" distL="0" distR="0" wp14:anchorId="23DE39C4" wp14:editId="4DA95064">
            <wp:extent cx="2629497" cy="14763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47759" cy="1486615"/>
                    </a:xfrm>
                    <a:prstGeom prst="rect">
                      <a:avLst/>
                    </a:prstGeom>
                    <a:noFill/>
                    <a:ln>
                      <a:noFill/>
                    </a:ln>
                  </pic:spPr>
                </pic:pic>
              </a:graphicData>
            </a:graphic>
          </wp:inline>
        </w:drawing>
      </w:r>
      <w:r>
        <w:t xml:space="preserve"> </w:t>
      </w:r>
      <w:r>
        <w:rPr>
          <w:rFonts w:ascii="Tw Cen MT" w:hAnsi="Tw Cen MT" w:cs="Tahoma"/>
          <w:b/>
          <w:noProof/>
          <w:sz w:val="24"/>
        </w:rPr>
        <w:drawing>
          <wp:inline distT="0" distB="0" distL="0" distR="0" wp14:anchorId="6540738F" wp14:editId="608462DB">
            <wp:extent cx="2619375" cy="14706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39849" cy="1482174"/>
                    </a:xfrm>
                    <a:prstGeom prst="rect">
                      <a:avLst/>
                    </a:prstGeom>
                    <a:noFill/>
                    <a:ln>
                      <a:noFill/>
                    </a:ln>
                  </pic:spPr>
                </pic:pic>
              </a:graphicData>
            </a:graphic>
          </wp:inline>
        </w:drawing>
      </w:r>
    </w:p>
    <w:p w14:paraId="67798808" w14:textId="782A2206" w:rsidR="00C16384" w:rsidRDefault="00C16384">
      <w:pPr>
        <w:rPr>
          <w:rFonts w:ascii="Tw Cen MT" w:hAnsi="Tw Cen MT"/>
          <w:sz w:val="24"/>
        </w:rPr>
      </w:pPr>
      <w:r w:rsidRPr="00C16384">
        <w:rPr>
          <w:rFonts w:ascii="Tw Cen MT" w:hAnsi="Tw Cen MT"/>
          <w:sz w:val="24"/>
        </w:rPr>
        <w:t xml:space="preserve">With the </w:t>
      </w:r>
      <w:r>
        <w:rPr>
          <w:rFonts w:ascii="Tw Cen MT" w:hAnsi="Tw Cen MT"/>
          <w:sz w:val="24"/>
        </w:rPr>
        <w:t xml:space="preserve">above concepts (the left one is without the floor tint, and the right one is with the floor tint), I have decided to make the bars represent their colours, by having the actual wooden/stone flat surfaces be the corresponding colours. Whilst the appliances and the sushi bar, remained their original colour. I did that to show that despite being on different teams, both sushi bars use the same equipment and so it is a far battle. </w:t>
      </w:r>
    </w:p>
    <w:p w14:paraId="03682676" w14:textId="6552F508" w:rsidR="00C16384" w:rsidRDefault="00C16384">
      <w:pPr>
        <w:rPr>
          <w:rFonts w:ascii="Tw Cen MT" w:hAnsi="Tw Cen MT"/>
          <w:sz w:val="24"/>
        </w:rPr>
      </w:pPr>
    </w:p>
    <w:p w14:paraId="3A8F1DB5" w14:textId="50A66883" w:rsidR="009B79AA" w:rsidRPr="009B79AA" w:rsidRDefault="009B79AA">
      <w:pPr>
        <w:rPr>
          <w:rFonts w:ascii="Tw Cen MT" w:hAnsi="Tw Cen MT"/>
          <w:b/>
          <w:sz w:val="24"/>
        </w:rPr>
      </w:pPr>
      <w:r>
        <w:rPr>
          <w:rFonts w:ascii="Tw Cen MT" w:hAnsi="Tw Cen MT"/>
          <w:b/>
          <w:sz w:val="24"/>
        </w:rPr>
        <w:t>2</w:t>
      </w:r>
      <w:r w:rsidRPr="009B79AA">
        <w:rPr>
          <w:rFonts w:ascii="Tw Cen MT" w:hAnsi="Tw Cen MT"/>
          <w:b/>
          <w:sz w:val="24"/>
          <w:vertAlign w:val="superscript"/>
        </w:rPr>
        <w:t>nd</w:t>
      </w:r>
      <w:r>
        <w:rPr>
          <w:rFonts w:ascii="Tw Cen MT" w:hAnsi="Tw Cen MT"/>
          <w:b/>
          <w:sz w:val="24"/>
        </w:rPr>
        <w:t xml:space="preserve"> concepts</w:t>
      </w:r>
    </w:p>
    <w:p w14:paraId="478923EF" w14:textId="4D982E18" w:rsidR="00C16384" w:rsidRDefault="00C16384">
      <w:pPr>
        <w:rPr>
          <w:rFonts w:ascii="Tw Cen MT" w:hAnsi="Tw Cen MT"/>
          <w:sz w:val="24"/>
        </w:rPr>
      </w:pPr>
      <w:r>
        <w:rPr>
          <w:rFonts w:ascii="Tw Cen MT" w:hAnsi="Tw Cen MT"/>
          <w:noProof/>
          <w:sz w:val="24"/>
        </w:rPr>
        <w:drawing>
          <wp:inline distT="0" distB="0" distL="0" distR="0" wp14:anchorId="227C52B9" wp14:editId="7FCB6934">
            <wp:extent cx="2713888" cy="152374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2430" cy="1528540"/>
                    </a:xfrm>
                    <a:prstGeom prst="rect">
                      <a:avLst/>
                    </a:prstGeom>
                    <a:noFill/>
                    <a:ln>
                      <a:noFill/>
                    </a:ln>
                  </pic:spPr>
                </pic:pic>
              </a:graphicData>
            </a:graphic>
          </wp:inline>
        </w:drawing>
      </w:r>
      <w:r>
        <w:rPr>
          <w:rFonts w:ascii="Tw Cen MT" w:hAnsi="Tw Cen MT"/>
          <w:sz w:val="24"/>
        </w:rPr>
        <w:t xml:space="preserve"> </w:t>
      </w:r>
      <w:r>
        <w:rPr>
          <w:rFonts w:ascii="Tw Cen MT" w:hAnsi="Tw Cen MT"/>
          <w:noProof/>
          <w:sz w:val="24"/>
        </w:rPr>
        <w:drawing>
          <wp:inline distT="0" distB="0" distL="0" distR="0" wp14:anchorId="3DA2F83C" wp14:editId="08F57C0D">
            <wp:extent cx="2713212" cy="15233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3659" cy="1529231"/>
                    </a:xfrm>
                    <a:prstGeom prst="rect">
                      <a:avLst/>
                    </a:prstGeom>
                    <a:noFill/>
                    <a:ln>
                      <a:noFill/>
                    </a:ln>
                  </pic:spPr>
                </pic:pic>
              </a:graphicData>
            </a:graphic>
          </wp:inline>
        </w:drawing>
      </w:r>
    </w:p>
    <w:p w14:paraId="2BCEDEA2" w14:textId="294B1967" w:rsidR="00C16384" w:rsidRDefault="00C16384">
      <w:pPr>
        <w:rPr>
          <w:rFonts w:ascii="Tw Cen MT" w:hAnsi="Tw Cen MT"/>
          <w:sz w:val="24"/>
        </w:rPr>
      </w:pPr>
      <w:r>
        <w:rPr>
          <w:rFonts w:ascii="Tw Cen MT" w:hAnsi="Tw Cen MT"/>
          <w:sz w:val="24"/>
        </w:rPr>
        <w:t>With these concepts, I decided to make the whole sushi bar, both the flat surfaces and the equipment be coloured in the respective colour of the team. This I think will highlight the competitive nature of the game, as both players can clearly see what side they are fighting for.</w:t>
      </w:r>
    </w:p>
    <w:p w14:paraId="411A4049" w14:textId="4A57EFCC" w:rsidR="00C16384" w:rsidRPr="009B79AA" w:rsidRDefault="009B79AA">
      <w:pPr>
        <w:rPr>
          <w:rFonts w:ascii="Tw Cen MT" w:hAnsi="Tw Cen MT"/>
          <w:b/>
          <w:sz w:val="24"/>
        </w:rPr>
      </w:pPr>
      <w:r>
        <w:rPr>
          <w:rFonts w:ascii="Tw Cen MT" w:hAnsi="Tw Cen MT"/>
          <w:b/>
          <w:sz w:val="24"/>
        </w:rPr>
        <w:t>3</w:t>
      </w:r>
      <w:r w:rsidRPr="009B79AA">
        <w:rPr>
          <w:rFonts w:ascii="Tw Cen MT" w:hAnsi="Tw Cen MT"/>
          <w:b/>
          <w:sz w:val="24"/>
          <w:vertAlign w:val="superscript"/>
        </w:rPr>
        <w:t>rd</w:t>
      </w:r>
      <w:r>
        <w:rPr>
          <w:rFonts w:ascii="Tw Cen MT" w:hAnsi="Tw Cen MT"/>
          <w:b/>
          <w:sz w:val="24"/>
        </w:rPr>
        <w:t xml:space="preserve"> concepts</w:t>
      </w:r>
    </w:p>
    <w:p w14:paraId="3A57D46E" w14:textId="1E60DE10" w:rsidR="00C16384" w:rsidRDefault="00C16384">
      <w:pPr>
        <w:rPr>
          <w:rFonts w:ascii="Tw Cen MT" w:hAnsi="Tw Cen MT"/>
          <w:sz w:val="24"/>
        </w:rPr>
      </w:pPr>
      <w:r>
        <w:rPr>
          <w:rFonts w:ascii="Tw Cen MT" w:hAnsi="Tw Cen MT"/>
          <w:noProof/>
          <w:sz w:val="24"/>
        </w:rPr>
        <w:drawing>
          <wp:inline distT="0" distB="0" distL="0" distR="0" wp14:anchorId="33D99EE9" wp14:editId="78DDA679">
            <wp:extent cx="2752725" cy="154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62776" cy="1551193"/>
                    </a:xfrm>
                    <a:prstGeom prst="rect">
                      <a:avLst/>
                    </a:prstGeom>
                    <a:noFill/>
                    <a:ln>
                      <a:noFill/>
                    </a:ln>
                  </pic:spPr>
                </pic:pic>
              </a:graphicData>
            </a:graphic>
          </wp:inline>
        </w:drawing>
      </w:r>
      <w:r>
        <w:rPr>
          <w:rFonts w:ascii="Tw Cen MT" w:hAnsi="Tw Cen MT"/>
          <w:sz w:val="24"/>
        </w:rPr>
        <w:t xml:space="preserve"> </w:t>
      </w:r>
      <w:r>
        <w:rPr>
          <w:rFonts w:ascii="Tw Cen MT" w:hAnsi="Tw Cen MT"/>
          <w:noProof/>
          <w:sz w:val="24"/>
        </w:rPr>
        <w:drawing>
          <wp:inline distT="0" distB="0" distL="0" distR="0" wp14:anchorId="5A1414B4" wp14:editId="55612B3F">
            <wp:extent cx="2739225" cy="1537970"/>
            <wp:effectExtent l="0" t="0" r="444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8367" cy="1543103"/>
                    </a:xfrm>
                    <a:prstGeom prst="rect">
                      <a:avLst/>
                    </a:prstGeom>
                    <a:noFill/>
                    <a:ln>
                      <a:noFill/>
                    </a:ln>
                  </pic:spPr>
                </pic:pic>
              </a:graphicData>
            </a:graphic>
          </wp:inline>
        </w:drawing>
      </w:r>
    </w:p>
    <w:p w14:paraId="0533BB79" w14:textId="7240B412" w:rsidR="00C16384" w:rsidRDefault="00C16384">
      <w:pPr>
        <w:rPr>
          <w:rFonts w:ascii="Tw Cen MT" w:hAnsi="Tw Cen MT"/>
          <w:sz w:val="24"/>
        </w:rPr>
      </w:pPr>
      <w:r>
        <w:rPr>
          <w:rFonts w:ascii="Tw Cen MT" w:hAnsi="Tw Cen MT"/>
          <w:sz w:val="24"/>
        </w:rPr>
        <w:t xml:space="preserve">These concepts are the opposite of the first concept. Now the flat surfaces stayed with the original colour, whilst the equipment became coloured. </w:t>
      </w:r>
    </w:p>
    <w:p w14:paraId="3748FEC4" w14:textId="0F06EEC1" w:rsidR="00457F2F" w:rsidRPr="009B79AA" w:rsidRDefault="009B79AA">
      <w:pPr>
        <w:rPr>
          <w:rFonts w:ascii="Tw Cen MT" w:hAnsi="Tw Cen MT"/>
          <w:b/>
          <w:sz w:val="24"/>
        </w:rPr>
      </w:pPr>
      <w:r>
        <w:rPr>
          <w:rFonts w:ascii="Tw Cen MT" w:hAnsi="Tw Cen MT"/>
          <w:b/>
          <w:sz w:val="24"/>
        </w:rPr>
        <w:lastRenderedPageBreak/>
        <w:t>4</w:t>
      </w:r>
      <w:r w:rsidRPr="009B79AA">
        <w:rPr>
          <w:rFonts w:ascii="Tw Cen MT" w:hAnsi="Tw Cen MT"/>
          <w:b/>
          <w:sz w:val="24"/>
          <w:vertAlign w:val="superscript"/>
        </w:rPr>
        <w:t>th</w:t>
      </w:r>
      <w:r>
        <w:rPr>
          <w:rFonts w:ascii="Tw Cen MT" w:hAnsi="Tw Cen MT"/>
          <w:b/>
          <w:sz w:val="24"/>
        </w:rPr>
        <w:t xml:space="preserve"> concepts</w:t>
      </w:r>
    </w:p>
    <w:p w14:paraId="09C230EA" w14:textId="2B838500" w:rsidR="00457F2F" w:rsidRDefault="00457F2F">
      <w:pPr>
        <w:rPr>
          <w:rFonts w:ascii="Tw Cen MT" w:hAnsi="Tw Cen MT"/>
          <w:sz w:val="24"/>
        </w:rPr>
      </w:pPr>
      <w:r>
        <w:rPr>
          <w:rFonts w:ascii="Tw Cen MT" w:hAnsi="Tw Cen MT"/>
          <w:noProof/>
          <w:sz w:val="24"/>
        </w:rPr>
        <w:drawing>
          <wp:inline distT="0" distB="0" distL="0" distR="0" wp14:anchorId="3E6FEE4F" wp14:editId="4CFB08EA">
            <wp:extent cx="2748272" cy="154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1424" cy="1544820"/>
                    </a:xfrm>
                    <a:prstGeom prst="rect">
                      <a:avLst/>
                    </a:prstGeom>
                    <a:noFill/>
                    <a:ln>
                      <a:noFill/>
                    </a:ln>
                  </pic:spPr>
                </pic:pic>
              </a:graphicData>
            </a:graphic>
          </wp:inline>
        </w:drawing>
      </w:r>
      <w:r>
        <w:rPr>
          <w:rFonts w:ascii="Tw Cen MT" w:hAnsi="Tw Cen MT"/>
          <w:sz w:val="24"/>
        </w:rPr>
        <w:t xml:space="preserve"> </w:t>
      </w:r>
      <w:r>
        <w:rPr>
          <w:rFonts w:ascii="Tw Cen MT" w:hAnsi="Tw Cen MT"/>
          <w:noProof/>
          <w:sz w:val="24"/>
        </w:rPr>
        <w:drawing>
          <wp:inline distT="0" distB="0" distL="0" distR="0" wp14:anchorId="4B1C0952" wp14:editId="3422E366">
            <wp:extent cx="2743200" cy="154020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8992" cy="1549069"/>
                    </a:xfrm>
                    <a:prstGeom prst="rect">
                      <a:avLst/>
                    </a:prstGeom>
                    <a:noFill/>
                    <a:ln>
                      <a:noFill/>
                    </a:ln>
                  </pic:spPr>
                </pic:pic>
              </a:graphicData>
            </a:graphic>
          </wp:inline>
        </w:drawing>
      </w:r>
    </w:p>
    <w:p w14:paraId="264B6017" w14:textId="37AD6F15" w:rsidR="00457F2F" w:rsidRDefault="00457F2F">
      <w:pPr>
        <w:rPr>
          <w:rFonts w:ascii="Tw Cen MT" w:hAnsi="Tw Cen MT"/>
          <w:sz w:val="24"/>
        </w:rPr>
      </w:pPr>
      <w:r>
        <w:rPr>
          <w:rFonts w:ascii="Tw Cen MT" w:hAnsi="Tw Cen MT"/>
          <w:sz w:val="24"/>
        </w:rPr>
        <w:t>These concepts borrow from the second set of concepts, but they only include the inner part of the bar. I think that this way, the kitchens show which bar is owned by which player, without necessarily making the bar feel out of place, when compared to the floor and the clients.</w:t>
      </w:r>
    </w:p>
    <w:p w14:paraId="138B4A61" w14:textId="18020A6D" w:rsidR="009B79AA" w:rsidRDefault="009B79AA">
      <w:pPr>
        <w:rPr>
          <w:rFonts w:ascii="Tw Cen MT" w:hAnsi="Tw Cen MT"/>
          <w:sz w:val="24"/>
        </w:rPr>
      </w:pPr>
    </w:p>
    <w:p w14:paraId="2156C6CD" w14:textId="296E70D2" w:rsidR="009B79AA" w:rsidRPr="009B79AA" w:rsidRDefault="009B79AA">
      <w:pPr>
        <w:rPr>
          <w:rFonts w:ascii="Tw Cen MT" w:hAnsi="Tw Cen MT"/>
          <w:b/>
          <w:sz w:val="24"/>
        </w:rPr>
      </w:pPr>
      <w:r>
        <w:rPr>
          <w:rFonts w:ascii="Tw Cen MT" w:hAnsi="Tw Cen MT"/>
          <w:b/>
          <w:sz w:val="24"/>
        </w:rPr>
        <w:t>5</w:t>
      </w:r>
      <w:r w:rsidRPr="009B79AA">
        <w:rPr>
          <w:rFonts w:ascii="Tw Cen MT" w:hAnsi="Tw Cen MT"/>
          <w:b/>
          <w:sz w:val="24"/>
          <w:vertAlign w:val="superscript"/>
        </w:rPr>
        <w:t>th</w:t>
      </w:r>
      <w:r>
        <w:rPr>
          <w:rFonts w:ascii="Tw Cen MT" w:hAnsi="Tw Cen MT"/>
          <w:b/>
          <w:sz w:val="24"/>
        </w:rPr>
        <w:t xml:space="preserve"> concepts</w:t>
      </w:r>
      <w:bookmarkStart w:id="0" w:name="_GoBack"/>
      <w:bookmarkEnd w:id="0"/>
    </w:p>
    <w:p w14:paraId="3EFBBB95" w14:textId="1D95189E" w:rsidR="00457F2F" w:rsidRDefault="009B79AA">
      <w:pPr>
        <w:rPr>
          <w:rFonts w:ascii="Tw Cen MT" w:hAnsi="Tw Cen MT"/>
          <w:sz w:val="24"/>
        </w:rPr>
      </w:pPr>
      <w:r>
        <w:rPr>
          <w:rFonts w:ascii="Tw Cen MT" w:hAnsi="Tw Cen MT"/>
          <w:noProof/>
          <w:sz w:val="24"/>
        </w:rPr>
        <w:drawing>
          <wp:inline distT="0" distB="0" distL="0" distR="0" wp14:anchorId="542ABC25" wp14:editId="0A2FC39E">
            <wp:extent cx="2663291" cy="149533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6873" cy="1502963"/>
                    </a:xfrm>
                    <a:prstGeom prst="rect">
                      <a:avLst/>
                    </a:prstGeom>
                    <a:noFill/>
                    <a:ln>
                      <a:noFill/>
                    </a:ln>
                  </pic:spPr>
                </pic:pic>
              </a:graphicData>
            </a:graphic>
          </wp:inline>
        </w:drawing>
      </w:r>
      <w:r>
        <w:rPr>
          <w:rFonts w:ascii="Tw Cen MT" w:hAnsi="Tw Cen MT"/>
          <w:sz w:val="24"/>
        </w:rPr>
        <w:t xml:space="preserve"> </w:t>
      </w:r>
      <w:r>
        <w:rPr>
          <w:rFonts w:ascii="Tw Cen MT" w:hAnsi="Tw Cen MT"/>
          <w:noProof/>
          <w:sz w:val="24"/>
        </w:rPr>
        <w:drawing>
          <wp:inline distT="0" distB="0" distL="0" distR="0" wp14:anchorId="69452FD9" wp14:editId="59D3E424">
            <wp:extent cx="2676525" cy="1502767"/>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027" cy="1508663"/>
                    </a:xfrm>
                    <a:prstGeom prst="rect">
                      <a:avLst/>
                    </a:prstGeom>
                    <a:noFill/>
                    <a:ln>
                      <a:noFill/>
                    </a:ln>
                  </pic:spPr>
                </pic:pic>
              </a:graphicData>
            </a:graphic>
          </wp:inline>
        </w:drawing>
      </w:r>
    </w:p>
    <w:p w14:paraId="7BDE2B27" w14:textId="02E7E215" w:rsidR="009B79AA" w:rsidRPr="00C16384" w:rsidRDefault="009B79AA">
      <w:pPr>
        <w:rPr>
          <w:rFonts w:ascii="Tw Cen MT" w:hAnsi="Tw Cen MT"/>
          <w:sz w:val="24"/>
        </w:rPr>
      </w:pPr>
      <w:r>
        <w:rPr>
          <w:rFonts w:ascii="Tw Cen MT" w:hAnsi="Tw Cen MT"/>
          <w:sz w:val="24"/>
        </w:rPr>
        <w:t xml:space="preserve">These concept is </w:t>
      </w:r>
      <w:proofErr w:type="gramStart"/>
      <w:r>
        <w:rPr>
          <w:rFonts w:ascii="Tw Cen MT" w:hAnsi="Tw Cen MT"/>
          <w:sz w:val="24"/>
        </w:rPr>
        <w:t>similar to</w:t>
      </w:r>
      <w:proofErr w:type="gramEnd"/>
      <w:r>
        <w:rPr>
          <w:rFonts w:ascii="Tw Cen MT" w:hAnsi="Tw Cen MT"/>
          <w:sz w:val="24"/>
        </w:rPr>
        <w:t xml:space="preserve"> the fourth one, as it only concerns the inner kitchen, though this time, only the equipment is coloured. It keeps the original aesthetic of the bar, whilst making brief highlights to which player owns which bar.</w:t>
      </w:r>
    </w:p>
    <w:sectPr w:rsidR="009B79AA" w:rsidRPr="00C16384">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961EA6" w14:textId="77777777" w:rsidR="00B62A8E" w:rsidRDefault="00B62A8E" w:rsidP="00C16384">
      <w:pPr>
        <w:spacing w:after="0" w:line="240" w:lineRule="auto"/>
      </w:pPr>
      <w:r>
        <w:separator/>
      </w:r>
    </w:p>
  </w:endnote>
  <w:endnote w:type="continuationSeparator" w:id="0">
    <w:p w14:paraId="59059B0F" w14:textId="77777777" w:rsidR="00B62A8E" w:rsidRDefault="00B62A8E" w:rsidP="00C1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A8C8E3" w14:textId="77777777" w:rsidR="00B62A8E" w:rsidRDefault="00B62A8E" w:rsidP="00C16384">
      <w:pPr>
        <w:spacing w:after="0" w:line="240" w:lineRule="auto"/>
      </w:pPr>
      <w:r>
        <w:separator/>
      </w:r>
    </w:p>
  </w:footnote>
  <w:footnote w:type="continuationSeparator" w:id="0">
    <w:p w14:paraId="52FD64F1" w14:textId="77777777" w:rsidR="00B62A8E" w:rsidRDefault="00B62A8E" w:rsidP="00C163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AD7C5" w14:textId="77777777" w:rsidR="00C16384" w:rsidRPr="000C4169" w:rsidRDefault="00C16384" w:rsidP="00C16384">
    <w:pPr>
      <w:pStyle w:val="Header"/>
      <w:jc w:val="center"/>
      <w:rPr>
        <w:rFonts w:ascii="Tw Cen MT" w:hAnsi="Tw Cen MT" w:cs="Calibri"/>
        <w:sz w:val="20"/>
      </w:rPr>
    </w:pPr>
    <w:r w:rsidRPr="000C4169">
      <w:rPr>
        <w:rFonts w:ascii="Tw Cen MT" w:hAnsi="Tw Cen MT" w:cs="Calibri"/>
        <w:b/>
        <w:sz w:val="20"/>
      </w:rPr>
      <w:t>Dawid Hojka (S187887)</w:t>
    </w:r>
    <w:r w:rsidRPr="000C4169">
      <w:rPr>
        <w:rFonts w:ascii="Tw Cen MT" w:hAnsi="Tw Cen MT" w:cs="Calibri"/>
        <w:sz w:val="20"/>
      </w:rPr>
      <w:t xml:space="preserve"> </w:t>
    </w:r>
  </w:p>
  <w:p w14:paraId="73844B93" w14:textId="77777777" w:rsidR="00C16384" w:rsidRPr="000C4169" w:rsidRDefault="00C16384" w:rsidP="00C16384">
    <w:pPr>
      <w:pStyle w:val="Header"/>
      <w:jc w:val="center"/>
      <w:rPr>
        <w:rFonts w:ascii="Tw Cen MT" w:hAnsi="Tw Cen MT" w:cs="Calibri"/>
        <w:sz w:val="20"/>
      </w:rPr>
    </w:pPr>
    <w:r w:rsidRPr="000C4169">
      <w:rPr>
        <w:rFonts w:ascii="Tw Cen MT" w:hAnsi="Tw Cen MT" w:cs="Calibri"/>
        <w:sz w:val="20"/>
      </w:rPr>
      <w:t>L4/5 Group Project: Group 5</w:t>
    </w:r>
  </w:p>
  <w:p w14:paraId="2EF287CD" w14:textId="77777777" w:rsidR="00C16384" w:rsidRPr="00C16384" w:rsidRDefault="00C16384">
    <w:pPr>
      <w:pStyle w:val="Header"/>
      <w:rPr>
        <w:b/>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384"/>
    <w:rsid w:val="00457F2F"/>
    <w:rsid w:val="009B79AA"/>
    <w:rsid w:val="00B62A8E"/>
    <w:rsid w:val="00C163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DEEE1"/>
  <w15:chartTrackingRefBased/>
  <w15:docId w15:val="{2F07A040-5BFD-4893-B5E6-84A698F38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63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63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384"/>
  </w:style>
  <w:style w:type="paragraph" w:styleId="Footer">
    <w:name w:val="footer"/>
    <w:basedOn w:val="Normal"/>
    <w:link w:val="FooterChar"/>
    <w:uiPriority w:val="99"/>
    <w:unhideWhenUsed/>
    <w:rsid w:val="00C163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3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2</Pages>
  <Words>223</Words>
  <Characters>1277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Dawid Hojka (s187887)</dc:creator>
  <cp:keywords/>
  <dc:description/>
  <cp:lastModifiedBy>Dawid Hojka (s187887)</cp:lastModifiedBy>
  <cp:revision>2</cp:revision>
  <dcterms:created xsi:type="dcterms:W3CDTF">2018-04-08T15:22:00Z</dcterms:created>
  <dcterms:modified xsi:type="dcterms:W3CDTF">2018-04-08T15:42:00Z</dcterms:modified>
</cp:coreProperties>
</file>