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0" w:line="300" w:lineRule="auto"/>
        <w:jc w:val="center"/>
        <w:bidi w:val="1"/>
        <w:keepNext/>
      </w:pPr>
      <w:r>
        <w:rPr>
          <w:rFonts w:ascii="Arial" w:hAnsi="Arial" w:cs="Arial" w:eastAsia="Arial"/>
          <w:b/>
          <w:i w:val="0"/>
          <w:color w:val="1F4E5F"/>
          <w:sz w:val="40"/>
        </w:rPr>
        <w:t>المنتج: عنان - البنية التشغيلية الذكية للقطاع العقاري</w:t>
      </w:r>
    </w:p>
    <w:p>
      <w:pPr>
        <w:spacing w:after="160" w:line="300" w:lineRule="auto"/>
        <w:jc w:val="right"/>
        <w:bidi w:val="1"/>
      </w:pPr>
      <w:r>
        <w:rPr>
          <w:rFonts w:ascii="Arial" w:hAnsi="Arial" w:cs="Arial" w:eastAsia="Arial"/>
          <w:b w:val="0"/>
          <w:i w:val="0"/>
          <w:color w:val="1E1E1E"/>
          <w:sz w:val="24"/>
        </w:rPr>
        <w:t>يعد هذا المنتج تجسيدا حقيقيا لمفهوم "الابتكار التشغيلي في السوق العقاري"، فبدلا من التعامل مع التطبيقات العقارية والمنصات الرقمية كواجهات منفصلة تعمل كل واحدة منها بمعزل عن الأخرى، فإن "عنان" يعيد تعريفها كشبكة مترابطة لتوليد القيمة الاقتصادية والتنظيمية من البيانات والعمليات العقارية.</w:t>
      </w:r>
    </w:p>
    <w:p>
      <w:pPr>
        <w:spacing w:after="160" w:line="300" w:lineRule="auto"/>
        <w:jc w:val="right"/>
        <w:bidi w:val="1"/>
      </w:pPr>
      <w:r>
        <w:rPr>
          <w:rFonts w:ascii="Arial" w:hAnsi="Arial" w:cs="Arial" w:eastAsia="Arial"/>
          <w:b w:val="0"/>
          <w:i w:val="0"/>
          <w:color w:val="1E1E1E"/>
          <w:sz w:val="24"/>
        </w:rPr>
        <w:t>إن "عنان" ليس مجرد تطبيق عقاري جديد يضاف إلى قائمة التطبيقات القائمة، وليس سوقا آخر لعرض الوحدات والمشاريع، بل هو بنية تشغيل ذكية تقوم على ربط المطورين، والوسطاء، والمستفيدين، والتطبيقات الرقمية، ومزودي الخدمات، والجهات التنظيمية في منظومة واحدة، بحيث تتحول البيانات العقارية من مدخلات مكررة ومتناثرة إلى أصل رقمي قابل للتشغيل والتحليل والاستثمار.</w:t>
      </w:r>
    </w:p>
    <w:p>
      <w:pPr>
        <w:spacing w:after="160" w:line="300" w:lineRule="auto"/>
        <w:jc w:val="right"/>
        <w:bidi w:val="1"/>
      </w:pPr>
      <w:r>
        <w:rPr>
          <w:rFonts w:ascii="Arial" w:hAnsi="Arial" w:cs="Arial" w:eastAsia="Arial"/>
          <w:b w:val="0"/>
          <w:i w:val="0"/>
          <w:color w:val="1E1E1E"/>
          <w:sz w:val="24"/>
        </w:rPr>
        <w:t>فالمشكلة ليست في نقص التطبيقات، بل في أن كثيرا من التطبيقات والمنصات تعمل كجزر منفصلة؛ يضطر المطور إلى إدخال بيانات المشروع أكثر من مرة، ويضطر الوسيط إلى إعادة صياغة المعلومات في أكثر من قناة، ويصل المستفيد النهائي إلى صور مختلفة من الحقيقة نفسها، بينما تبقى الجهة المنظمة أمام سوق واسع الحركة لكنه محدود القدرة على إنتاج قراءة موحدة لحالة الطلب والعرض والفرص.</w:t>
      </w:r>
    </w:p>
    <w:p>
      <w:pPr>
        <w:spacing w:after="160" w:line="300" w:lineRule="auto"/>
        <w:jc w:val="right"/>
        <w:bidi w:val="1"/>
      </w:pPr>
      <w:r>
        <w:rPr>
          <w:rFonts w:ascii="Arial" w:hAnsi="Arial" w:cs="Arial" w:eastAsia="Arial"/>
          <w:b w:val="0"/>
          <w:i w:val="0"/>
          <w:color w:val="1E1E1E"/>
          <w:sz w:val="24"/>
        </w:rPr>
        <w:t>من هنا يقدم "عنان" سياسة تشغيلية تنطق البيانات، وتجعل التكامل بين التطبيقات العقارية قيمة اقتصادية لا عبئا تقنيا. نحن لا نهدف إلى استبدال المنصات الحكومية أو مزاحمة التطبيقات القائمة، بل نهدف إلى بناء نقطة مركزية تزيد قيمة كل منصة متصلة بها، وتخفض تكرار العمل، وترفع موثوقية البيانات، وتفتح المجال أمام شركات التقنية العقارية لبناء خدمات أكثر نضجا فوق طبقة تشغيل موحدة.</w:t>
      </w:r>
    </w:p>
    <w:p>
      <w:pPr>
        <w:spacing w:after="160" w:line="300" w:lineRule="auto"/>
        <w:jc w:val="right"/>
        <w:bidi w:val="1"/>
      </w:pPr>
      <w:r>
        <w:rPr>
          <w:rFonts w:ascii="Arial" w:hAnsi="Arial" w:cs="Arial" w:eastAsia="Arial"/>
          <w:b w:val="0"/>
          <w:i w:val="0"/>
          <w:color w:val="1E1E1E"/>
          <w:sz w:val="24"/>
        </w:rPr>
        <w:t>وبذلك يصبح "عنان" شريكا في صناعة سوق عقاري أكثر شفافية وكفاءة، يدعم مستهدفات رؤية السعودية 2030 في التحول الرقمي، وتمكين القطاع الخاص، ورفع جودة الحياة، وتحسين كفاءة السوق العقاري، دون أن تفقد الجهة الحكومية دورها كمنظم وممكن وحارس للثقة.</w:t>
      </w:r>
    </w:p>
    <w:p>
      <w:pPr>
        <w:pStyle w:val="Heading2"/>
        <w:spacing w:after="280" w:line="300" w:lineRule="auto" w:before="0"/>
        <w:jc w:val="right"/>
        <w:bidi w:val="1"/>
        <w:keepNext/>
        <w:pageBreakBefore/>
      </w:pPr>
      <w:r>
        <w:rPr>
          <w:rFonts w:ascii="Arial" w:hAnsi="Arial" w:cs="Arial" w:eastAsia="Arial"/>
          <w:b/>
          <w:i w:val="0"/>
          <w:color w:val="1F4E5F"/>
          <w:sz w:val="30"/>
        </w:rPr>
        <w:t>القيمة الاستراتيجية للمنتج</w:t>
      </w:r>
    </w:p>
    <w:p>
      <w:pPr>
        <w:spacing w:after="160" w:line="300" w:lineRule="auto"/>
        <w:jc w:val="right"/>
        <w:bidi w:val="1"/>
      </w:pPr>
      <w:r>
        <w:rPr>
          <w:rFonts w:ascii="Arial" w:hAnsi="Arial" w:cs="Arial" w:eastAsia="Arial"/>
          <w:b w:val="0"/>
          <w:i w:val="0"/>
          <w:color w:val="1E1E1E"/>
          <w:sz w:val="24"/>
        </w:rPr>
        <w:t>تعتمد استراتيجية "عنان" على إعادة صياغة العلاقة بين السوق العقاري والتطبيقات الرقمية، بحيث لا تكون العلاقة قائمة على تكرار إدخال البيانات، أو تضارب مصادر العرض، أو اعتماد كل جهة على قاعدة معلومات خاصة بها، بل على منظومة تشغيلية مركزية تسمح بتدفق البيانات الموثوقة بين الأطراف ذات الصلة وفق صلاحيات واضحة وقواعد حوكمة قابلة للقياس.</w:t>
      </w:r>
    </w:p>
    <w:p>
      <w:pPr>
        <w:spacing w:after="160" w:line="300" w:lineRule="auto"/>
        <w:jc w:val="right"/>
        <w:bidi w:val="1"/>
      </w:pPr>
      <w:r>
        <w:rPr>
          <w:rFonts w:ascii="Arial" w:hAnsi="Arial" w:cs="Arial" w:eastAsia="Arial"/>
          <w:b w:val="0"/>
          <w:i w:val="0"/>
          <w:color w:val="1E1E1E"/>
          <w:sz w:val="24"/>
        </w:rPr>
        <w:t>يتجاوز هذا الحل المفهوم التقليدي للمنصة العقارية، ليقدم منهجية "تشغيل عقاري متكامل" تعتمد على توحيد دورة البيانات من لحظة إنشاء المشروع أو الوحدة أو العرض، مرورا بمرحلة الاعتماد والتصنيف والتوزيع، وصولا إلى التحليل السوقي وقياس أثر الطلب والاستجابة والفرص الاستثمارية.</w:t>
      </w:r>
    </w:p>
    <w:p>
      <w:pPr>
        <w:spacing w:after="160" w:line="300" w:lineRule="auto"/>
        <w:jc w:val="right"/>
        <w:bidi w:val="1"/>
      </w:pPr>
      <w:r>
        <w:rPr>
          <w:rFonts w:ascii="Arial" w:hAnsi="Arial" w:cs="Arial" w:eastAsia="Arial"/>
          <w:b w:val="0"/>
          <w:i w:val="0"/>
          <w:color w:val="1E1E1E"/>
          <w:sz w:val="24"/>
        </w:rPr>
        <w:t>يرتكز هذا الحل على هندسة نموذج تشغيلي يدمج بين الربحية التجارية والمنفعة العامة، مما يحول بيانات القطاع العقاري من تكلفة تشغيلية مكررة إلى محرك اقتصادي ذكي، ويساهم في رفع نضج التطبيقات العقارية، وتحفيز شركات البروبتك، ودعم قرارات المطورين والمستثمرين والجهات التنظيمية ببيانات أكثر اتساقا ووضوحا.</w:t>
      </w:r>
    </w:p>
    <w:p>
      <w:pPr>
        <w:spacing w:after="160" w:line="300" w:lineRule="auto"/>
        <w:jc w:val="right"/>
        <w:bidi w:val="1"/>
      </w:pPr>
      <w:r>
        <w:rPr>
          <w:rFonts w:ascii="Arial" w:hAnsi="Arial" w:cs="Arial" w:eastAsia="Arial"/>
          <w:b w:val="0"/>
          <w:i w:val="0"/>
          <w:color w:val="1E1E1E"/>
          <w:sz w:val="24"/>
        </w:rPr>
        <w:t>إننا لا نهدف من خلال "عنان" إلى مجرد جمع البيانات، بل نهدف إلى إعادة ابتكار مفهوم "البيان العقاري" ليكون شريكا في صناعة القرار، وتحويل التطبيقات العقارية من قنوات عرض متفرقة إلى منظومة خدمات مترابطة، وبالتالي نكون قد قدمنا حلا يدمج بين كفاءة السوق، والشفافية، وتجربة المستفيد، وتمكين الابتكار، ومحفزات الاستثمار في آن واحد.</w:t>
      </w:r>
    </w:p>
    <w:p>
      <w:pPr>
        <w:pStyle w:val="Heading2"/>
        <w:spacing w:after="280" w:line="300" w:lineRule="auto" w:before="0"/>
        <w:jc w:val="right"/>
        <w:bidi w:val="1"/>
        <w:keepNext/>
        <w:pageBreakBefore/>
      </w:pPr>
      <w:r>
        <w:rPr>
          <w:rFonts w:ascii="Arial" w:hAnsi="Arial" w:cs="Arial" w:eastAsia="Arial"/>
          <w:b/>
          <w:i w:val="0"/>
          <w:color w:val="1F4E5F"/>
          <w:sz w:val="30"/>
        </w:rPr>
        <w:t>الأركان والمحاور الاستراتيجية للمنتج</w:t>
      </w:r>
    </w:p>
    <w:p>
      <w:pPr>
        <w:pStyle w:val="Heading3"/>
        <w:spacing w:after="160" w:line="300" w:lineRule="auto" w:before="160"/>
        <w:jc w:val="right"/>
        <w:bidi w:val="1"/>
        <w:keepNext/>
      </w:pPr>
      <w:r>
        <w:rPr>
          <w:rFonts w:ascii="Arial" w:hAnsi="Arial" w:cs="Arial" w:eastAsia="Arial"/>
          <w:b/>
          <w:i w:val="0"/>
          <w:color w:val="3E5F70"/>
          <w:sz w:val="26"/>
        </w:rPr>
        <w:t>المحور الأول: سياق التحدي</w:t>
      </w:r>
    </w:p>
    <w:p>
      <w:pPr>
        <w:pStyle w:val="Heading4"/>
        <w:spacing w:after="100" w:line="300" w:lineRule="auto" w:before="100"/>
        <w:jc w:val="right"/>
        <w:bidi w:val="1"/>
        <w:keepNext/>
      </w:pPr>
      <w:r>
        <w:rPr>
          <w:rFonts w:ascii="Arial" w:hAnsi="Arial" w:cs="Arial" w:eastAsia="Arial"/>
          <w:b/>
          <w:i/>
          <w:color w:val="3E5F70"/>
          <w:sz w:val="23"/>
        </w:rPr>
        <w:t>أ- تشخيص "الفجوة الرقمية العقارية"</w:t>
      </w:r>
    </w:p>
    <w:p>
      <w:pPr>
        <w:spacing w:after="160" w:line="300" w:lineRule="auto"/>
        <w:jc w:val="right"/>
        <w:bidi w:val="1"/>
      </w:pPr>
      <w:r>
        <w:rPr>
          <w:rFonts w:ascii="Arial" w:hAnsi="Arial" w:cs="Arial" w:eastAsia="Arial"/>
          <w:b w:val="0"/>
          <w:i w:val="0"/>
          <w:color w:val="1E1E1E"/>
          <w:sz w:val="24"/>
        </w:rPr>
        <w:t>توجد في السوق العقاري منظومة واسعة من الأطراف الفاعلة: مطورون، وسطاء، مسوقون، تطبيقات عقارية، شركات تمويل، مزودو تحليلات، ومستفيدون نهائيون. ومع ذلك، فإن العلاقة بين هذه الأطراف ما زالت في كثير من الحالات تعتمد على إعادة إدخال البيانات وتكرار العمليات وانفصال القنوات.</w:t>
      </w:r>
    </w:p>
    <w:p>
      <w:pPr>
        <w:spacing w:after="160" w:line="300" w:lineRule="auto"/>
        <w:jc w:val="right"/>
        <w:bidi w:val="1"/>
      </w:pPr>
      <w:r>
        <w:rPr>
          <w:rFonts w:ascii="Arial" w:hAnsi="Arial" w:cs="Arial" w:eastAsia="Arial"/>
          <w:b w:val="0"/>
          <w:i w:val="0"/>
          <w:color w:val="1E1E1E"/>
          <w:sz w:val="24"/>
        </w:rPr>
        <w:t>ينتج عن ذلك ارتفاع في تكلفة التشغيل، وانخفاض في جودة البيانات، وصعوبة في معرفة النسخة الأحدث من المشروع أو الوحدة أو العرض، إضافة إلى ضعف قدرة التطبيقات الصغيرة والناشئة على الوصول إلى بيانات موثوقة دون بناء منظومات مكلفة من الصفر.</w:t>
      </w:r>
    </w:p>
    <w:p>
      <w:pPr>
        <w:pStyle w:val="Heading4"/>
        <w:spacing w:after="100" w:line="300" w:lineRule="auto" w:before="100"/>
        <w:jc w:val="right"/>
        <w:bidi w:val="1"/>
        <w:keepNext/>
      </w:pPr>
      <w:r>
        <w:rPr>
          <w:rFonts w:ascii="Arial" w:hAnsi="Arial" w:cs="Arial" w:eastAsia="Arial"/>
          <w:b/>
          <w:i/>
          <w:color w:val="3E5F70"/>
          <w:sz w:val="23"/>
        </w:rPr>
        <w:t>ب- الفجوة بين وفرة التطبيقات وندرة التكامل</w:t>
      </w:r>
    </w:p>
    <w:p>
      <w:pPr>
        <w:spacing w:after="160" w:line="300" w:lineRule="auto"/>
        <w:jc w:val="right"/>
        <w:bidi w:val="1"/>
      </w:pPr>
      <w:r>
        <w:rPr>
          <w:rFonts w:ascii="Arial" w:hAnsi="Arial" w:cs="Arial" w:eastAsia="Arial"/>
          <w:b w:val="0"/>
          <w:i w:val="0"/>
          <w:color w:val="1E1E1E"/>
          <w:sz w:val="24"/>
        </w:rPr>
        <w:t>لا تكمن المشكلة في غياب الواجهات الرقمية، بل في محدودية التكامل بينها. فوجود عدد كبير من التطبيقات لا يعني بالضرورة وجود سوق رقمي ناضج، إذا بقي كل تطبيق يطلب من المطور أو الوسيط أو المستخدم إعادة تعبئة البيانات نفسها بطريقة مختلفة.</w:t>
      </w:r>
    </w:p>
    <w:p>
      <w:pPr>
        <w:spacing w:after="160" w:line="300" w:lineRule="auto"/>
        <w:jc w:val="right"/>
        <w:bidi w:val="1"/>
      </w:pPr>
      <w:r>
        <w:rPr>
          <w:rFonts w:ascii="Arial" w:hAnsi="Arial" w:cs="Arial" w:eastAsia="Arial"/>
          <w:b w:val="0"/>
          <w:i w:val="0"/>
          <w:color w:val="1E1E1E"/>
          <w:sz w:val="24"/>
        </w:rPr>
        <w:t>توجد فجوة منهجية بين "رقمنة الخدمة" و"تشغيل السوق رقميا". الأولى تحول الورق إلى شاشة، أما الثانية فتبني شبكة موحدة تسمح بتدفق البيانات والخدمات والقرارات عبر القطاع كله.</w:t>
      </w:r>
    </w:p>
    <w:p>
      <w:pPr>
        <w:pStyle w:val="Heading3"/>
        <w:spacing w:after="160" w:line="300" w:lineRule="auto" w:before="160"/>
        <w:jc w:val="right"/>
        <w:bidi w:val="1"/>
        <w:keepNext/>
      </w:pPr>
      <w:r>
        <w:rPr>
          <w:rFonts w:ascii="Arial" w:hAnsi="Arial" w:cs="Arial" w:eastAsia="Arial"/>
          <w:b/>
          <w:i w:val="0"/>
          <w:color w:val="3E5F70"/>
          <w:sz w:val="26"/>
        </w:rPr>
        <w:t>المحور الثاني: فلسفة الحل</w:t>
      </w:r>
    </w:p>
    <w:p>
      <w:pPr>
        <w:pStyle w:val="Heading4"/>
        <w:spacing w:after="100" w:line="300" w:lineRule="auto" w:before="100"/>
        <w:jc w:val="right"/>
        <w:bidi w:val="1"/>
        <w:keepNext/>
      </w:pPr>
      <w:r>
        <w:rPr>
          <w:rFonts w:ascii="Arial" w:hAnsi="Arial" w:cs="Arial" w:eastAsia="Arial"/>
          <w:b/>
          <w:i/>
          <w:color w:val="3E5F70"/>
          <w:sz w:val="23"/>
        </w:rPr>
        <w:t>أ- مفهوم "مركز التشغيل العقاري الذكي"</w:t>
      </w:r>
    </w:p>
    <w:p>
      <w:pPr>
        <w:spacing w:after="160" w:line="300" w:lineRule="auto"/>
        <w:jc w:val="right"/>
        <w:bidi w:val="1"/>
      </w:pPr>
      <w:r>
        <w:rPr>
          <w:rFonts w:ascii="Arial" w:hAnsi="Arial" w:cs="Arial" w:eastAsia="Arial"/>
          <w:b w:val="0"/>
          <w:i w:val="0"/>
          <w:color w:val="1E1E1E"/>
          <w:sz w:val="24"/>
        </w:rPr>
        <w:t>لا يقف "عنان" عند حدود التطوير التقني للتطبيقات، بل يمتد إلى مفهوم تنموي حديث يمكن تسميته "مركز التشغيل العقاري الذكي"؛ أي صياغة طبقة مشتركة تربط بيانات العرض، واحتياج الطلب، وحركة السوق، وأدوار الشركاء، ومؤشرات الأداء، بحيث تتحول البيانات إلى قوة تشغيل لا مجرد أرشيف رقمي.</w:t>
      </w:r>
    </w:p>
    <w:p>
      <w:pPr>
        <w:spacing w:after="160" w:line="300" w:lineRule="auto"/>
        <w:jc w:val="right"/>
        <w:bidi w:val="1"/>
      </w:pPr>
      <w:r>
        <w:rPr>
          <w:rFonts w:ascii="Arial" w:hAnsi="Arial" w:cs="Arial" w:eastAsia="Arial"/>
          <w:b w:val="0"/>
          <w:i w:val="0"/>
          <w:color w:val="1E1E1E"/>
          <w:sz w:val="24"/>
        </w:rPr>
        <w:t>هذا المفهوم يتناغم مع توجهات هيئة الحكومة الرقمية في تكامل المنصات، ومع توجهات هيئة العقار في رفع الشفافية ودعم البيانات والابتكار، ومع مستهدفات برنامج الإسكان في تحسين كفاءة السوق وتوسيع الخيارات، ومع جودة الحياة في تحسين تجربة المستفيد والبيئة الحضرية.</w:t>
      </w:r>
    </w:p>
    <w:p>
      <w:pPr>
        <w:pStyle w:val="Heading4"/>
        <w:spacing w:after="100" w:line="300" w:lineRule="auto" w:before="100"/>
        <w:jc w:val="right"/>
        <w:bidi w:val="1"/>
        <w:keepNext/>
      </w:pPr>
      <w:r>
        <w:rPr>
          <w:rFonts w:ascii="Arial" w:hAnsi="Arial" w:cs="Arial" w:eastAsia="Arial"/>
          <w:b/>
          <w:i/>
          <w:color w:val="3E5F70"/>
          <w:sz w:val="23"/>
        </w:rPr>
        <w:t>ب- تحويل التكرار إلى أصل</w:t>
      </w:r>
    </w:p>
    <w:p>
      <w:pPr>
        <w:spacing w:after="160" w:line="300" w:lineRule="auto"/>
        <w:jc w:val="right"/>
        <w:bidi w:val="1"/>
      </w:pPr>
      <w:r>
        <w:rPr>
          <w:rFonts w:ascii="Arial" w:hAnsi="Arial" w:cs="Arial" w:eastAsia="Arial"/>
          <w:b w:val="0"/>
          <w:i w:val="0"/>
          <w:color w:val="1E1E1E"/>
          <w:sz w:val="24"/>
        </w:rPr>
        <w:t>تقوم فلسفة الحل على خفض تكلفة التكرار عبر إدخال البيانات مرة واحدة، ثم تفعيلها في مسارات متعددة بحسب الصلاحيات: مسار للمطور، ومسار للوسيط، ومسار للتطبيقات الشريكة، ومسار للتحليلات، ومسار للجهة المنظمة.</w:t>
      </w:r>
    </w:p>
    <w:p>
      <w:pPr>
        <w:spacing w:after="160" w:line="300" w:lineRule="auto"/>
        <w:jc w:val="right"/>
        <w:bidi w:val="1"/>
      </w:pPr>
      <w:r>
        <w:rPr>
          <w:rFonts w:ascii="Arial" w:hAnsi="Arial" w:cs="Arial" w:eastAsia="Arial"/>
          <w:b w:val="0"/>
          <w:i w:val="0"/>
          <w:color w:val="1E1E1E"/>
          <w:sz w:val="24"/>
        </w:rPr>
        <w:t>وبذلك يتحول كل مشروع أو وحدة أو عرض من ملف ثابت إلى أصل رقمي حي، قابل للتوزيع والقياس والتحسين، دون أن يفقد مالك البيانات حق التحكم في الوصول أو مستوى الإفصاح.</w:t>
      </w:r>
    </w:p>
    <w:p>
      <w:pPr>
        <w:pStyle w:val="Heading3"/>
        <w:spacing w:after="160" w:line="300" w:lineRule="auto" w:before="160"/>
        <w:jc w:val="right"/>
        <w:bidi w:val="1"/>
        <w:keepNext/>
      </w:pPr>
      <w:r>
        <w:rPr>
          <w:rFonts w:ascii="Arial" w:hAnsi="Arial" w:cs="Arial" w:eastAsia="Arial"/>
          <w:b/>
          <w:i w:val="0"/>
          <w:color w:val="3E5F70"/>
          <w:sz w:val="26"/>
        </w:rPr>
        <w:t>المحور الثالث: الركائز التشغيلية والتقنية</w:t>
      </w:r>
    </w:p>
    <w:p>
      <w:pPr>
        <w:pStyle w:val="Heading4"/>
        <w:spacing w:after="100" w:line="300" w:lineRule="auto" w:before="100"/>
        <w:jc w:val="right"/>
        <w:bidi w:val="1"/>
        <w:keepNext/>
      </w:pPr>
      <w:r>
        <w:rPr>
          <w:rFonts w:ascii="Arial" w:hAnsi="Arial" w:cs="Arial" w:eastAsia="Arial"/>
          <w:b/>
          <w:i/>
          <w:color w:val="3E5F70"/>
          <w:sz w:val="23"/>
        </w:rPr>
        <w:t>أ- نموذج البيانات العقاري الموحد</w:t>
      </w:r>
    </w:p>
    <w:p>
      <w:pPr>
        <w:spacing w:after="160" w:line="300" w:lineRule="auto"/>
        <w:jc w:val="right"/>
        <w:bidi w:val="1"/>
      </w:pPr>
      <w:r>
        <w:rPr>
          <w:rFonts w:ascii="Arial" w:hAnsi="Arial" w:cs="Arial" w:eastAsia="Arial"/>
          <w:b w:val="0"/>
          <w:i w:val="0"/>
          <w:color w:val="1E1E1E"/>
          <w:sz w:val="24"/>
        </w:rPr>
        <w:t>اعتماد نموذج بيانات منظم للمشاريع والوحدات والعروض والوسطاء والمطورين، بحيث يقلل الاختلاف بين الصيغ المتعددة، ويسهل تكامل التطبيقات، ويرفع جودة البيانات المتاحة للسوق.</w:t>
      </w:r>
    </w:p>
    <w:p>
      <w:pPr>
        <w:pStyle w:val="Heading4"/>
        <w:spacing w:after="100" w:line="300" w:lineRule="auto" w:before="100"/>
        <w:jc w:val="right"/>
        <w:bidi w:val="1"/>
        <w:keepNext/>
      </w:pPr>
      <w:r>
        <w:rPr>
          <w:rFonts w:ascii="Arial" w:hAnsi="Arial" w:cs="Arial" w:eastAsia="Arial"/>
          <w:b/>
          <w:i/>
          <w:color w:val="3E5F70"/>
          <w:sz w:val="23"/>
        </w:rPr>
        <w:t>ب- طبقة التكامل وواجهات الربط</w:t>
      </w:r>
    </w:p>
    <w:p>
      <w:pPr>
        <w:spacing w:after="160" w:line="300" w:lineRule="auto"/>
        <w:jc w:val="right"/>
        <w:bidi w:val="1"/>
      </w:pPr>
      <w:r>
        <w:rPr>
          <w:rFonts w:ascii="Arial" w:hAnsi="Arial" w:cs="Arial" w:eastAsia="Arial"/>
          <w:b w:val="0"/>
          <w:i w:val="0"/>
          <w:color w:val="1E1E1E"/>
          <w:sz w:val="24"/>
        </w:rPr>
        <w:t>توفير واجهات ربط تتيح للتطبيقات العقارية ومزودي الخدمات الوصول إلى البيانات المصرح بها، ونشر خدماتهم فوق بنية تشغيل واحدة، مما يخلق بيئة بروبتك أكثر نشاطا ومرونة.</w:t>
      </w:r>
    </w:p>
    <w:p>
      <w:pPr>
        <w:pStyle w:val="Heading4"/>
        <w:spacing w:after="100" w:line="300" w:lineRule="auto" w:before="100"/>
        <w:jc w:val="right"/>
        <w:bidi w:val="1"/>
        <w:keepNext/>
      </w:pPr>
      <w:r>
        <w:rPr>
          <w:rFonts w:ascii="Arial" w:hAnsi="Arial" w:cs="Arial" w:eastAsia="Arial"/>
          <w:b/>
          <w:i/>
          <w:color w:val="3E5F70"/>
          <w:sz w:val="23"/>
        </w:rPr>
        <w:t>ج- نظام الصلاحيات والحوكمة</w:t>
      </w:r>
    </w:p>
    <w:p>
      <w:pPr>
        <w:spacing w:after="160" w:line="300" w:lineRule="auto"/>
        <w:jc w:val="right"/>
        <w:bidi w:val="1"/>
      </w:pPr>
      <w:r>
        <w:rPr>
          <w:rFonts w:ascii="Arial" w:hAnsi="Arial" w:cs="Arial" w:eastAsia="Arial"/>
          <w:b w:val="0"/>
          <w:i w:val="0"/>
          <w:color w:val="1E1E1E"/>
          <w:sz w:val="24"/>
        </w:rPr>
        <w:t>وضع أطر واضحة تحدد من يملك البيانات، ومن يستطيع تعديلها، ومن يحق له قراءتها، وما مستوى الإفصاح المتاح لكل شريك، بما يحافظ على الثقة ويحمي حقوق الأطراف.</w:t>
      </w:r>
    </w:p>
    <w:p>
      <w:pPr>
        <w:pStyle w:val="Heading4"/>
        <w:spacing w:after="100" w:line="300" w:lineRule="auto" w:before="100"/>
        <w:jc w:val="right"/>
        <w:bidi w:val="1"/>
        <w:keepNext/>
      </w:pPr>
      <w:r>
        <w:rPr>
          <w:rFonts w:ascii="Arial" w:hAnsi="Arial" w:cs="Arial" w:eastAsia="Arial"/>
          <w:b/>
          <w:i/>
          <w:color w:val="3E5F70"/>
          <w:sz w:val="23"/>
        </w:rPr>
        <w:t>د- لوحة المؤشرات والتحليلات</w:t>
      </w:r>
    </w:p>
    <w:p>
      <w:pPr>
        <w:spacing w:after="160" w:line="300" w:lineRule="auto"/>
        <w:jc w:val="right"/>
        <w:bidi w:val="1"/>
      </w:pPr>
      <w:r>
        <w:rPr>
          <w:rFonts w:ascii="Arial" w:hAnsi="Arial" w:cs="Arial" w:eastAsia="Arial"/>
          <w:b w:val="0"/>
          <w:i w:val="0"/>
          <w:color w:val="1E1E1E"/>
          <w:sz w:val="24"/>
        </w:rPr>
        <w:t>تزويد الجهة الحكومية والقطاع الخاص بلوحات قراءة تساعد على فهم حركة العرض والطلب، ونشاط المطورين والوسطاء، وجودة البيانات، ومعدلات التحويل، وفرص الاستثمار والتحسين.</w:t>
      </w:r>
    </w:p>
    <w:p>
      <w:pPr>
        <w:pStyle w:val="Heading3"/>
        <w:spacing w:after="160" w:line="300" w:lineRule="auto" w:before="160"/>
        <w:jc w:val="right"/>
        <w:bidi w:val="1"/>
        <w:keepNext/>
      </w:pPr>
      <w:r>
        <w:rPr>
          <w:rFonts w:ascii="Arial" w:hAnsi="Arial" w:cs="Arial" w:eastAsia="Arial"/>
          <w:b/>
          <w:i w:val="0"/>
          <w:color w:val="3E5F70"/>
          <w:sz w:val="26"/>
        </w:rPr>
        <w:t>المحور الرابع: خارطة الأثر والتمكين والاستدامة</w:t>
      </w:r>
    </w:p>
    <w:p>
      <w:pPr>
        <w:pStyle w:val="Heading4"/>
        <w:spacing w:after="100" w:line="300" w:lineRule="auto" w:before="100"/>
        <w:jc w:val="right"/>
        <w:bidi w:val="1"/>
        <w:keepNext/>
      </w:pPr>
      <w:r>
        <w:rPr>
          <w:rFonts w:ascii="Arial" w:hAnsi="Arial" w:cs="Arial" w:eastAsia="Arial"/>
          <w:b/>
          <w:i/>
          <w:color w:val="3E5F70"/>
          <w:sz w:val="23"/>
        </w:rPr>
        <w:t>أ- رفع كفاءة السوق العقاري</w:t>
      </w:r>
    </w:p>
    <w:p>
      <w:pPr>
        <w:spacing w:after="160" w:line="300" w:lineRule="auto"/>
        <w:jc w:val="right"/>
        <w:bidi w:val="1"/>
      </w:pPr>
      <w:r>
        <w:rPr>
          <w:rFonts w:ascii="Arial" w:hAnsi="Arial" w:cs="Arial" w:eastAsia="Arial"/>
          <w:b w:val="0"/>
          <w:i w:val="0"/>
          <w:color w:val="1E1E1E"/>
          <w:sz w:val="24"/>
        </w:rPr>
        <w:t>يساهم "عنان" في خفض الهدر التشغيلي الناتج عن تكرار البيانات، وتحسين سرعة طرح المشاريع، وتسهيل وصول التطبيقات الشريكة إلى معلومات موثوقة، مما ينعكس على نضج السوق وشفافيته.</w:t>
      </w:r>
    </w:p>
    <w:p>
      <w:pPr>
        <w:pStyle w:val="Heading4"/>
        <w:spacing w:after="100" w:line="300" w:lineRule="auto" w:before="100"/>
        <w:jc w:val="right"/>
        <w:bidi w:val="1"/>
        <w:keepNext/>
      </w:pPr>
      <w:r>
        <w:rPr>
          <w:rFonts w:ascii="Arial" w:hAnsi="Arial" w:cs="Arial" w:eastAsia="Arial"/>
          <w:b/>
          <w:i/>
          <w:color w:val="3E5F70"/>
          <w:sz w:val="23"/>
        </w:rPr>
        <w:t>ب- تمكين شركات التقنية العقارية</w:t>
      </w:r>
    </w:p>
    <w:p>
      <w:pPr>
        <w:spacing w:after="160" w:line="300" w:lineRule="auto"/>
        <w:jc w:val="right"/>
        <w:bidi w:val="1"/>
      </w:pPr>
      <w:r>
        <w:rPr>
          <w:rFonts w:ascii="Arial" w:hAnsi="Arial" w:cs="Arial" w:eastAsia="Arial"/>
          <w:b w:val="0"/>
          <w:i w:val="0"/>
          <w:color w:val="1E1E1E"/>
          <w:sz w:val="24"/>
        </w:rPr>
        <w:t>بدلا من أن تبدأ كل شركة ناشئة ببناء قاعدة بيانات مغلقة، يمكنها أن تبني خدمات تحليل، أو تجربة مستخدم، أو تمويل، أو تسويق، أو إدارة عملاء فوق مركز تشغيل موثوق، وبذلك يصبح "عنان" منصة تمكين للصناعة لا منافسا لها.</w:t>
      </w:r>
    </w:p>
    <w:p>
      <w:pPr>
        <w:pStyle w:val="Heading4"/>
        <w:spacing w:after="100" w:line="300" w:lineRule="auto" w:before="100"/>
        <w:jc w:val="right"/>
        <w:bidi w:val="1"/>
        <w:keepNext/>
      </w:pPr>
      <w:r>
        <w:rPr>
          <w:rFonts w:ascii="Arial" w:hAnsi="Arial" w:cs="Arial" w:eastAsia="Arial"/>
          <w:b/>
          <w:i/>
          <w:color w:val="3E5F70"/>
          <w:sz w:val="23"/>
        </w:rPr>
        <w:t>ج- تحسين تجربة المستفيد</w:t>
      </w:r>
    </w:p>
    <w:p>
      <w:pPr>
        <w:spacing w:after="160" w:line="300" w:lineRule="auto"/>
        <w:jc w:val="right"/>
        <w:bidi w:val="1"/>
      </w:pPr>
      <w:r>
        <w:rPr>
          <w:rFonts w:ascii="Arial" w:hAnsi="Arial" w:cs="Arial" w:eastAsia="Arial"/>
          <w:b w:val="0"/>
          <w:i w:val="0"/>
          <w:color w:val="1E1E1E"/>
          <w:sz w:val="24"/>
        </w:rPr>
        <w:t>عندما تتوحد البيانات وتتصل التطبيقات، يقل تضارب المعلومات، ويصبح المستفيد قادرا على اتخاذ قرار عقاري أكثر وضوحا، سواء كان مشتريا أو مستأجرا أو مستثمرا أو وسيطا أو مطورا.</w:t>
      </w:r>
    </w:p>
    <w:p>
      <w:pPr>
        <w:pStyle w:val="Heading2"/>
        <w:spacing w:after="280" w:line="300" w:lineRule="auto" w:before="0"/>
        <w:jc w:val="right"/>
        <w:bidi w:val="1"/>
        <w:keepNext/>
        <w:pageBreakBefore/>
      </w:pPr>
      <w:r>
        <w:rPr>
          <w:rFonts w:ascii="Arial" w:hAnsi="Arial" w:cs="Arial" w:eastAsia="Arial"/>
          <w:b/>
          <w:i w:val="0"/>
          <w:color w:val="1F4E5F"/>
          <w:sz w:val="30"/>
        </w:rPr>
        <w:t>أركان العرض المرئي</w:t>
      </w:r>
    </w:p>
    <w:p>
      <w:pPr>
        <w:spacing w:after="160" w:line="300" w:lineRule="auto"/>
        <w:jc w:val="right"/>
        <w:bidi w:val="1"/>
      </w:pPr>
      <w:r>
        <w:rPr>
          <w:rFonts w:ascii="Arial" w:hAnsi="Arial" w:cs="Arial" w:eastAsia="Arial"/>
          <w:b w:val="0"/>
          <w:i w:val="0"/>
          <w:color w:val="1E1E1E"/>
          <w:sz w:val="24"/>
        </w:rPr>
        <w:t>1. خريطة منظومة الشركاء:</w:t>
      </w:r>
    </w:p>
    <w:p>
      <w:pPr>
        <w:spacing w:after="160" w:line="300" w:lineRule="auto"/>
        <w:jc w:val="right"/>
        <w:bidi w:val="1"/>
      </w:pPr>
      <w:r>
        <w:rPr>
          <w:rFonts w:ascii="Arial" w:hAnsi="Arial" w:cs="Arial" w:eastAsia="Arial"/>
          <w:b w:val="0"/>
          <w:i w:val="0"/>
          <w:color w:val="1E1E1E"/>
          <w:sz w:val="24"/>
        </w:rPr>
        <w:t>توضح كيف يقف "عنان" في المركز رابطا بين الجهة الحكومية، هيئة العقار، المطورين، الوسطاء، التطبيقات العقارية، شركات البروبتك، مزودي التمويل، ومزودي التحليلات.</w:t>
      </w:r>
    </w:p>
    <w:p>
      <w:pPr>
        <w:spacing w:after="160" w:line="300" w:lineRule="auto"/>
        <w:jc w:val="right"/>
        <w:bidi w:val="1"/>
      </w:pPr>
      <w:r>
        <w:rPr>
          <w:rFonts w:ascii="Arial" w:hAnsi="Arial" w:cs="Arial" w:eastAsia="Arial"/>
          <w:b w:val="0"/>
          <w:i w:val="0"/>
          <w:color w:val="1E1E1E"/>
          <w:sz w:val="24"/>
        </w:rPr>
        <w:t>2. مخطط "قبل وبعد":</w:t>
      </w:r>
    </w:p>
    <w:p>
      <w:pPr>
        <w:spacing w:after="160" w:line="300" w:lineRule="auto"/>
        <w:jc w:val="right"/>
        <w:bidi w:val="1"/>
      </w:pPr>
      <w:r>
        <w:rPr>
          <w:rFonts w:ascii="Arial" w:hAnsi="Arial" w:cs="Arial" w:eastAsia="Arial"/>
          <w:b w:val="0"/>
          <w:i w:val="0"/>
          <w:color w:val="1E1E1E"/>
          <w:sz w:val="24"/>
        </w:rPr>
        <w:t>لا يركز على شكل التطبيق، بل على تدفق البيانات. قبل "عنان": إدخال مكرر، قنوات متفرقة، نسخ متعددة من الحقيقة. بعد "عنان": إدخال واحد، توزيع منظم، صلاحيات واضحة، وقراءة موحدة للسوق.</w:t>
      </w:r>
    </w:p>
    <w:p>
      <w:pPr>
        <w:spacing w:after="160" w:line="300" w:lineRule="auto"/>
        <w:jc w:val="right"/>
        <w:bidi w:val="1"/>
      </w:pPr>
      <w:r>
        <w:rPr>
          <w:rFonts w:ascii="Arial" w:hAnsi="Arial" w:cs="Arial" w:eastAsia="Arial"/>
          <w:b w:val="0"/>
          <w:i w:val="0"/>
          <w:color w:val="1E1E1E"/>
          <w:sz w:val="24"/>
        </w:rPr>
        <w:t>3. رحلة المطور:</w:t>
      </w:r>
    </w:p>
    <w:p>
      <w:pPr>
        <w:spacing w:after="160" w:line="300" w:lineRule="auto"/>
        <w:jc w:val="right"/>
        <w:bidi w:val="1"/>
      </w:pPr>
      <w:r>
        <w:rPr>
          <w:rFonts w:ascii="Arial" w:hAnsi="Arial" w:cs="Arial" w:eastAsia="Arial"/>
          <w:b w:val="0"/>
          <w:i w:val="0"/>
          <w:color w:val="1E1E1E"/>
          <w:sz w:val="24"/>
        </w:rPr>
        <w:t>توضح كيف يدخل المطور بيانات مشروعه مرة واحدة، ثم تتحول البيانات إلى عروض منظمة للوسطاء، ومحتوى قابل للنشر للتطبيقات، ومؤشرات للجهة المنظمة، وتحليلات للطلب والفرص.</w:t>
      </w:r>
    </w:p>
    <w:p>
      <w:pPr>
        <w:spacing w:after="160" w:line="300" w:lineRule="auto"/>
        <w:jc w:val="right"/>
        <w:bidi w:val="1"/>
      </w:pPr>
      <w:r>
        <w:rPr>
          <w:rFonts w:ascii="Arial" w:hAnsi="Arial" w:cs="Arial" w:eastAsia="Arial"/>
          <w:b w:val="0"/>
          <w:i w:val="0"/>
          <w:color w:val="1E1E1E"/>
          <w:sz w:val="24"/>
        </w:rPr>
        <w:t>4. لوحة مؤشرات حكومية:</w:t>
      </w:r>
    </w:p>
    <w:p>
      <w:pPr>
        <w:spacing w:after="160" w:line="300" w:lineRule="auto"/>
        <w:jc w:val="right"/>
        <w:bidi w:val="1"/>
      </w:pPr>
      <w:r>
        <w:rPr>
          <w:rFonts w:ascii="Arial" w:hAnsi="Arial" w:cs="Arial" w:eastAsia="Arial"/>
          <w:b w:val="0"/>
          <w:i w:val="0"/>
          <w:color w:val="1E1E1E"/>
          <w:sz w:val="24"/>
        </w:rPr>
        <w:t>تعرض مؤشرات جودة البيانات، عدد الشركاء المتصلين، سرعة نشر المشاريع، نشاط الوسطاء، مستوى الطلب، ومعدلات التحويل، بما يحول السوق من مساحة مراقبة متأخرة إلى نظام قراءة استباقي.</w:t>
      </w:r>
    </w:p>
    <w:p>
      <w:pPr>
        <w:pStyle w:val="Heading2"/>
        <w:spacing w:after="280" w:line="300" w:lineRule="auto" w:before="0"/>
        <w:jc w:val="right"/>
        <w:bidi w:val="1"/>
        <w:keepNext/>
        <w:pageBreakBefore/>
      </w:pPr>
      <w:r>
        <w:rPr>
          <w:rFonts w:ascii="Arial" w:hAnsi="Arial" w:cs="Arial" w:eastAsia="Arial"/>
          <w:b/>
          <w:i w:val="0"/>
          <w:color w:val="1F4E5F"/>
          <w:sz w:val="30"/>
        </w:rPr>
        <w:t>استراتيجية المنتج</w:t>
      </w:r>
    </w:p>
    <w:p>
      <w:pPr>
        <w:pStyle w:val="Heading3"/>
        <w:spacing w:after="160" w:line="300" w:lineRule="auto" w:before="160"/>
        <w:jc w:val="right"/>
        <w:bidi w:val="1"/>
        <w:keepNext/>
      </w:pPr>
      <w:r>
        <w:rPr>
          <w:rFonts w:ascii="Arial" w:hAnsi="Arial" w:cs="Arial" w:eastAsia="Arial"/>
          <w:b/>
          <w:i w:val="0"/>
          <w:color w:val="3E5F70"/>
          <w:sz w:val="26"/>
        </w:rPr>
        <w:t>السياسة</w:t>
      </w:r>
    </w:p>
    <w:p>
      <w:pPr>
        <w:spacing w:after="160" w:line="300" w:lineRule="auto"/>
        <w:jc w:val="right"/>
        <w:bidi w:val="1"/>
      </w:pPr>
      <w:r>
        <w:rPr>
          <w:rFonts w:ascii="Arial" w:hAnsi="Arial" w:cs="Arial" w:eastAsia="Arial"/>
          <w:b w:val="0"/>
          <w:i w:val="0"/>
          <w:color w:val="1E1E1E"/>
          <w:sz w:val="24"/>
        </w:rPr>
        <w:t>تعزيزا لكفاءة السوق العقاري، ودعما لمسار التحول الرقمي، وبناء على توجهات رؤية السعودية 2030 في تمكين القطاع الخاص، ورفع جودة الحياة، وتعزيز الشفافية، فإننا نقترح سياسة:</w:t>
      </w:r>
    </w:p>
    <w:p>
      <w:pPr>
        <w:spacing w:after="160" w:line="300" w:lineRule="auto"/>
        <w:jc w:val="right"/>
        <w:bidi w:val="1"/>
      </w:pPr>
      <w:r>
        <w:rPr>
          <w:rFonts w:ascii="Arial" w:hAnsi="Arial" w:cs="Arial" w:eastAsia="Arial"/>
          <w:b w:val="0"/>
          <w:i w:val="0"/>
          <w:color w:val="1E1E1E"/>
          <w:sz w:val="24"/>
        </w:rPr>
        <w:t>"التفعيل الرقمي المتكامل للبيانات والخدمات العقارية"</w:t>
      </w:r>
    </w:p>
    <w:p>
      <w:pPr>
        <w:spacing w:after="160" w:line="300" w:lineRule="auto"/>
        <w:jc w:val="right"/>
        <w:bidi w:val="1"/>
      </w:pPr>
      <w:r>
        <w:rPr>
          <w:rFonts w:ascii="Arial" w:hAnsi="Arial" w:cs="Arial" w:eastAsia="Arial"/>
          <w:b w:val="0"/>
          <w:i w:val="0"/>
          <w:color w:val="1E1E1E"/>
          <w:sz w:val="24"/>
        </w:rPr>
        <w:t>وهي سياسة تهدف إلى نقل السوق العقاري من مرحلة التطبيقات المنفصلة إلى مرحلة المنظومة المتكاملة، بحيث يتم ربط المطورين والوسطاء والتطبيقات الرقمية ومزودي الخدمات عبر مركز تشغيل موحد، مع الالتزام بضوابط الحوكمة والصلاحيات وحماية البيانات.</w:t>
      </w:r>
    </w:p>
    <w:p>
      <w:pPr>
        <w:pStyle w:val="Heading3"/>
        <w:spacing w:after="160" w:line="300" w:lineRule="auto" w:before="160"/>
        <w:jc w:val="right"/>
        <w:bidi w:val="1"/>
        <w:keepNext/>
      </w:pPr>
      <w:r>
        <w:rPr>
          <w:rFonts w:ascii="Arial" w:hAnsi="Arial" w:cs="Arial" w:eastAsia="Arial"/>
          <w:b/>
          <w:i w:val="0"/>
          <w:color w:val="3E5F70"/>
          <w:sz w:val="26"/>
        </w:rPr>
        <w:t>أولا: إلزامية "التوصيف الرقمي العقاري" قبل التوزيع</w:t>
      </w:r>
    </w:p>
    <w:p>
      <w:pPr>
        <w:spacing w:after="160" w:line="300" w:lineRule="auto"/>
        <w:jc w:val="right"/>
        <w:bidi w:val="1"/>
      </w:pPr>
      <w:r>
        <w:rPr>
          <w:rFonts w:ascii="Arial" w:hAnsi="Arial" w:cs="Arial" w:eastAsia="Arial"/>
          <w:b w:val="0"/>
          <w:i w:val="0"/>
          <w:color w:val="1E1E1E"/>
          <w:sz w:val="24"/>
        </w:rPr>
        <w:t>لا يتم توزيع المشروع أو الوحدة أو العرض عبر قنوات متعددة إلا بعد إصدار "بطاقة توصيف رقمية" تحتوي على الحد الأدنى من البيانات المعتمدة: هوية المشروع، الموقع، نوع العقار، حالة التوفر، السعر أو النطاق السعري، حالة الاعتماد، الصور والوسائط، وسياسات النشر والتحديث.</w:t>
      </w:r>
    </w:p>
    <w:p>
      <w:pPr>
        <w:spacing w:after="160" w:line="300" w:lineRule="auto"/>
        <w:jc w:val="right"/>
        <w:bidi w:val="1"/>
      </w:pPr>
      <w:r>
        <w:rPr>
          <w:rFonts w:ascii="Arial" w:hAnsi="Arial" w:cs="Arial" w:eastAsia="Arial"/>
          <w:b w:val="0"/>
          <w:i w:val="0"/>
          <w:color w:val="1E1E1E"/>
          <w:sz w:val="24"/>
        </w:rPr>
        <w:t>هذه البطاقة لا تهدف إلى زيادة العبء على المطور، بل إلى إنهاء العبء المتكرر؛ إذ تصبح هي المصدر التشغيلي الذي يغذي التطبيقات والوسطاء والتحليلات بدلا من إعادة الكتابة في كل مرة.</w:t>
      </w:r>
    </w:p>
    <w:p>
      <w:pPr>
        <w:pStyle w:val="Heading3"/>
        <w:spacing w:after="160" w:line="300" w:lineRule="auto" w:before="160"/>
        <w:jc w:val="right"/>
        <w:bidi w:val="1"/>
        <w:keepNext/>
      </w:pPr>
      <w:r>
        <w:rPr>
          <w:rFonts w:ascii="Arial" w:hAnsi="Arial" w:cs="Arial" w:eastAsia="Arial"/>
          <w:b/>
          <w:i w:val="0"/>
          <w:color w:val="3E5F70"/>
          <w:sz w:val="26"/>
        </w:rPr>
        <w:t>ثانيا: استحداث "وحدة تكامل الشركاء"</w:t>
      </w:r>
    </w:p>
    <w:p>
      <w:pPr>
        <w:spacing w:after="160" w:line="300" w:lineRule="auto"/>
        <w:jc w:val="right"/>
        <w:bidi w:val="1"/>
      </w:pPr>
      <w:r>
        <w:rPr>
          <w:rFonts w:ascii="Arial" w:hAnsi="Arial" w:cs="Arial" w:eastAsia="Arial"/>
          <w:b w:val="0"/>
          <w:i w:val="0"/>
          <w:color w:val="1E1E1E"/>
          <w:sz w:val="24"/>
        </w:rPr>
        <w:t>تكون مهمتها إدارة العلاقة بين "عنان" والتطبيقات العقارية وشركات البروبتك ومزودي الخدمات، بحيث تضمن:</w:t>
      </w:r>
    </w:p>
    <w:p>
      <w:pPr>
        <w:spacing w:after="160" w:line="300" w:lineRule="auto"/>
        <w:jc w:val="right"/>
        <w:bidi w:val="1"/>
      </w:pPr>
      <w:r>
        <w:rPr>
          <w:rFonts w:ascii="Arial" w:hAnsi="Arial" w:cs="Arial" w:eastAsia="Arial"/>
          <w:b w:val="0"/>
          <w:i w:val="0"/>
          <w:color w:val="1E1E1E"/>
          <w:sz w:val="24"/>
        </w:rPr>
        <w:t>1. اعتماد نماذج الربط وواجهات التكامل.</w:t>
      </w:r>
    </w:p>
    <w:p>
      <w:pPr>
        <w:spacing w:after="160" w:line="300" w:lineRule="auto"/>
        <w:jc w:val="right"/>
        <w:bidi w:val="1"/>
      </w:pPr>
      <w:r>
        <w:rPr>
          <w:rFonts w:ascii="Arial" w:hAnsi="Arial" w:cs="Arial" w:eastAsia="Arial"/>
          <w:b w:val="0"/>
          <w:i w:val="0"/>
          <w:color w:val="1E1E1E"/>
          <w:sz w:val="24"/>
        </w:rPr>
        <w:t>2. تحديد مستويات الوصول إلى البيانات.</w:t>
      </w:r>
    </w:p>
    <w:p>
      <w:pPr>
        <w:spacing w:after="160" w:line="300" w:lineRule="auto"/>
        <w:jc w:val="right"/>
        <w:bidi w:val="1"/>
      </w:pPr>
      <w:r>
        <w:rPr>
          <w:rFonts w:ascii="Arial" w:hAnsi="Arial" w:cs="Arial" w:eastAsia="Arial"/>
          <w:b w:val="0"/>
          <w:i w:val="0"/>
          <w:color w:val="1E1E1E"/>
          <w:sz w:val="24"/>
        </w:rPr>
        <w:t>3. قياس جودة البيانات المتبادلة.</w:t>
      </w:r>
    </w:p>
    <w:p>
      <w:pPr>
        <w:spacing w:after="160" w:line="300" w:lineRule="auto"/>
        <w:jc w:val="right"/>
        <w:bidi w:val="1"/>
      </w:pPr>
      <w:r>
        <w:rPr>
          <w:rFonts w:ascii="Arial" w:hAnsi="Arial" w:cs="Arial" w:eastAsia="Arial"/>
          <w:b w:val="0"/>
          <w:i w:val="0"/>
          <w:color w:val="1E1E1E"/>
          <w:sz w:val="24"/>
        </w:rPr>
        <w:t>4. دعم الشركات الناشئة والتطبيقات الصغيرة في بناء خدماتها دون الحاجة إلى امتلاك كامل البنية من البداية.</w:t>
      </w:r>
    </w:p>
    <w:p>
      <w:pPr>
        <w:pStyle w:val="Heading3"/>
        <w:spacing w:after="160" w:line="300" w:lineRule="auto" w:before="160"/>
        <w:jc w:val="right"/>
        <w:bidi w:val="1"/>
        <w:keepNext/>
      </w:pPr>
      <w:r>
        <w:rPr>
          <w:rFonts w:ascii="Arial" w:hAnsi="Arial" w:cs="Arial" w:eastAsia="Arial"/>
          <w:b/>
          <w:i w:val="0"/>
          <w:color w:val="3E5F70"/>
          <w:sz w:val="26"/>
        </w:rPr>
        <w:t>ثالثا: نظام "النقاط الرقمية العقارية"</w:t>
      </w:r>
    </w:p>
    <w:p>
      <w:pPr>
        <w:spacing w:after="160" w:line="300" w:lineRule="auto"/>
        <w:jc w:val="right"/>
        <w:bidi w:val="1"/>
      </w:pPr>
      <w:r>
        <w:rPr>
          <w:rFonts w:ascii="Arial" w:hAnsi="Arial" w:cs="Arial" w:eastAsia="Arial"/>
          <w:b w:val="0"/>
          <w:i w:val="0"/>
          <w:color w:val="1E1E1E"/>
          <w:sz w:val="24"/>
        </w:rPr>
        <w:t>يتم ربط مزايا الشريك ومستوى وصوله بمدى التزامه بمؤشرات الجودة، مثل دقة البيانات، سرعة التحديث، احترام الصلاحيات، جودة تجربة المستفيد، ومعدل التفاعل الحقيقي.</w:t>
      </w:r>
    </w:p>
    <w:p>
      <w:pPr>
        <w:spacing w:after="160" w:line="300" w:lineRule="auto"/>
        <w:jc w:val="right"/>
        <w:bidi w:val="1"/>
      </w:pPr>
      <w:r>
        <w:rPr>
          <w:rFonts w:ascii="Arial" w:hAnsi="Arial" w:cs="Arial" w:eastAsia="Arial"/>
          <w:b w:val="0"/>
          <w:i w:val="0"/>
          <w:color w:val="1E1E1E"/>
          <w:sz w:val="24"/>
        </w:rPr>
        <w:t>الإخفاق المتكرر في هذه المؤشرات يتيح تخفيض مستوى الوصول أو تعليق الربط أو إلزام الشريك بخطة تصحيح.</w:t>
      </w:r>
    </w:p>
    <w:p>
      <w:pPr>
        <w:pStyle w:val="Heading2"/>
        <w:spacing w:after="280" w:line="300" w:lineRule="auto" w:before="0"/>
        <w:jc w:val="right"/>
        <w:bidi w:val="1"/>
        <w:keepNext/>
        <w:pageBreakBefore/>
      </w:pPr>
      <w:r>
        <w:rPr>
          <w:rFonts w:ascii="Arial" w:hAnsi="Arial" w:cs="Arial" w:eastAsia="Arial"/>
          <w:b/>
          <w:i w:val="0"/>
          <w:color w:val="1F4E5F"/>
          <w:sz w:val="30"/>
        </w:rPr>
        <w:t>المحاور الاستراتيجية للعرض</w:t>
      </w:r>
    </w:p>
    <w:p>
      <w:pPr>
        <w:pStyle w:val="Heading3"/>
        <w:spacing w:after="160" w:line="300" w:lineRule="auto" w:before="160"/>
        <w:jc w:val="right"/>
        <w:bidi w:val="1"/>
        <w:keepNext/>
      </w:pPr>
      <w:r>
        <w:rPr>
          <w:rFonts w:ascii="Arial" w:hAnsi="Arial" w:cs="Arial" w:eastAsia="Arial"/>
          <w:b/>
          <w:i w:val="0"/>
          <w:color w:val="3E5F70"/>
          <w:sz w:val="26"/>
        </w:rPr>
        <w:t>1. كسر عزلة التطبيقات العقارية</w:t>
      </w:r>
    </w:p>
    <w:p>
      <w:pPr>
        <w:spacing w:after="160" w:line="300" w:lineRule="auto"/>
        <w:jc w:val="right"/>
        <w:bidi w:val="1"/>
      </w:pPr>
      <w:r>
        <w:rPr>
          <w:rFonts w:ascii="Arial" w:hAnsi="Arial" w:cs="Arial" w:eastAsia="Arial"/>
          <w:b w:val="0"/>
          <w:i w:val="0"/>
          <w:color w:val="1E1E1E"/>
          <w:sz w:val="24"/>
        </w:rPr>
        <w:t>بدلا من أن تعمل التطبيقات كجزر مستقلة، تجعل هذه السياسة التطبيقات جزءا من شبكة تشغيلية واحدة. كل تطبيق يحتفظ بتميزه وتجربته، لكنه يتصل بمصدر بيانات أوضح وأكثر انتظاما.</w:t>
      </w:r>
    </w:p>
    <w:p>
      <w:pPr>
        <w:pStyle w:val="Heading3"/>
        <w:spacing w:after="160" w:line="300" w:lineRule="auto" w:before="160"/>
        <w:jc w:val="right"/>
        <w:bidi w:val="1"/>
        <w:keepNext/>
      </w:pPr>
      <w:r>
        <w:rPr>
          <w:rFonts w:ascii="Arial" w:hAnsi="Arial" w:cs="Arial" w:eastAsia="Arial"/>
          <w:b/>
          <w:i w:val="0"/>
          <w:color w:val="3E5F70"/>
          <w:sz w:val="26"/>
        </w:rPr>
        <w:t>2. رفع الثقة والشفافية</w:t>
      </w:r>
    </w:p>
    <w:p>
      <w:pPr>
        <w:spacing w:after="160" w:line="300" w:lineRule="auto"/>
        <w:jc w:val="right"/>
        <w:bidi w:val="1"/>
      </w:pPr>
      <w:r>
        <w:rPr>
          <w:rFonts w:ascii="Arial" w:hAnsi="Arial" w:cs="Arial" w:eastAsia="Arial"/>
          <w:b w:val="0"/>
          <w:i w:val="0"/>
          <w:color w:val="1E1E1E"/>
          <w:sz w:val="24"/>
        </w:rPr>
        <w:t>السوق العقاري يحتاج إلى معلومات موثوقة بقدر حاجته إلى معروض واسع. عندما يعرف المستفيد أن البيانات محدثة ومتصلة بمصدر تشغيلي موحد، ترتفع الثقة، ويقل التردد، وتتحسن جودة القرار.</w:t>
      </w:r>
    </w:p>
    <w:p>
      <w:pPr>
        <w:pStyle w:val="Heading3"/>
        <w:spacing w:after="160" w:line="300" w:lineRule="auto" w:before="160"/>
        <w:jc w:val="right"/>
        <w:bidi w:val="1"/>
        <w:keepNext/>
      </w:pPr>
      <w:r>
        <w:rPr>
          <w:rFonts w:ascii="Arial" w:hAnsi="Arial" w:cs="Arial" w:eastAsia="Arial"/>
          <w:b/>
          <w:i w:val="0"/>
          <w:color w:val="3E5F70"/>
          <w:sz w:val="26"/>
        </w:rPr>
        <w:t>3. تمكين القطاع الخاص</w:t>
      </w:r>
    </w:p>
    <w:p>
      <w:pPr>
        <w:spacing w:after="160" w:line="300" w:lineRule="auto"/>
        <w:jc w:val="right"/>
        <w:bidi w:val="1"/>
      </w:pPr>
      <w:r>
        <w:rPr>
          <w:rFonts w:ascii="Arial" w:hAnsi="Arial" w:cs="Arial" w:eastAsia="Arial"/>
          <w:b w:val="0"/>
          <w:i w:val="0"/>
          <w:color w:val="1E1E1E"/>
          <w:sz w:val="24"/>
        </w:rPr>
        <w:t>لا تقوم الدولة ببناء كل تجربة رقمية بنفسها، ولا تترك السوق في حالة تشتت. بل تتيح بنية مشتركة تجعل القطاع الخاص قادرا على بناء خدمات متخصصة فوقها: تطبيقات بحث، تمويل، تقييم، إدارة وسطاء، تحليلات، وتجارب مشتري.</w:t>
      </w:r>
    </w:p>
    <w:p>
      <w:pPr>
        <w:pStyle w:val="Heading3"/>
        <w:spacing w:after="160" w:line="300" w:lineRule="auto" w:before="160"/>
        <w:jc w:val="right"/>
        <w:bidi w:val="1"/>
        <w:keepNext/>
      </w:pPr>
      <w:r>
        <w:rPr>
          <w:rFonts w:ascii="Arial" w:hAnsi="Arial" w:cs="Arial" w:eastAsia="Arial"/>
          <w:b/>
          <w:i w:val="0"/>
          <w:color w:val="3E5F70"/>
          <w:sz w:val="26"/>
        </w:rPr>
        <w:t>4. تحويل البيانات إلى أصل اقتصادي</w:t>
      </w:r>
    </w:p>
    <w:p>
      <w:pPr>
        <w:spacing w:after="160" w:line="300" w:lineRule="auto"/>
        <w:jc w:val="right"/>
        <w:bidi w:val="1"/>
      </w:pPr>
      <w:r>
        <w:rPr>
          <w:rFonts w:ascii="Arial" w:hAnsi="Arial" w:cs="Arial" w:eastAsia="Arial"/>
          <w:b w:val="0"/>
          <w:i w:val="0"/>
          <w:color w:val="1E1E1E"/>
          <w:sz w:val="24"/>
        </w:rPr>
        <w:t>البيانات التي يعاد إدخالها عشرات المرات هي تكلفة. أما البيانات التي تدخل مرة واحدة وتعمل في أكثر من مسار فهي أصل اقتصادي، يولد قيمة للمطور، والوسيط، والتطبيق، والمستفيد، والجهة المنظمة.</w:t>
      </w:r>
    </w:p>
    <w:p>
      <w:pPr>
        <w:pStyle w:val="Heading2"/>
        <w:spacing w:after="280" w:line="300" w:lineRule="auto" w:before="0"/>
        <w:jc w:val="right"/>
        <w:bidi w:val="1"/>
        <w:keepNext/>
        <w:pageBreakBefore/>
      </w:pPr>
      <w:r>
        <w:rPr>
          <w:rFonts w:ascii="Arial" w:hAnsi="Arial" w:cs="Arial" w:eastAsia="Arial"/>
          <w:b/>
          <w:i w:val="0"/>
          <w:color w:val="1F4E5F"/>
          <w:sz w:val="30"/>
        </w:rPr>
        <w:t>عوامل النجاح الحرجة للمنتج (Critical Success Factors - CSFs)</w:t>
      </w:r>
    </w:p>
    <w:p>
      <w:pPr>
        <w:pStyle w:val="Heading3"/>
        <w:spacing w:after="160" w:line="300" w:lineRule="auto" w:before="160"/>
        <w:jc w:val="right"/>
        <w:bidi w:val="1"/>
        <w:keepNext/>
      </w:pPr>
      <w:r>
        <w:rPr>
          <w:rFonts w:ascii="Arial" w:hAnsi="Arial" w:cs="Arial" w:eastAsia="Arial"/>
          <w:b/>
          <w:i w:val="0"/>
          <w:color w:val="3E5F70"/>
          <w:sz w:val="26"/>
        </w:rPr>
        <w:t>1. جودة البيانات العقارية</w:t>
      </w:r>
    </w:p>
    <w:p>
      <w:pPr>
        <w:spacing w:after="160" w:line="300" w:lineRule="auto"/>
        <w:jc w:val="right"/>
        <w:bidi w:val="1"/>
      </w:pPr>
      <w:r>
        <w:rPr>
          <w:rFonts w:ascii="Arial" w:hAnsi="Arial" w:cs="Arial" w:eastAsia="Arial"/>
          <w:b w:val="0"/>
          <w:i w:val="0"/>
          <w:color w:val="1E1E1E"/>
          <w:sz w:val="24"/>
        </w:rPr>
        <w:t>العامل: الثقة في المصدر.</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نجاح "عنان" يعتمد على أن تكون البيانات دقيقة، محدثة، وقابلة للتحقق. غياب هذا العامل يحول المركز إلى قناة توزيع إضافية لا تختلف عن القنوات التقليدية.</w:t>
      </w:r>
    </w:p>
    <w:p>
      <w:pPr>
        <w:pStyle w:val="Heading3"/>
        <w:spacing w:after="160" w:line="300" w:lineRule="auto" w:before="160"/>
        <w:jc w:val="right"/>
        <w:bidi w:val="1"/>
        <w:keepNext/>
      </w:pPr>
      <w:r>
        <w:rPr>
          <w:rFonts w:ascii="Arial" w:hAnsi="Arial" w:cs="Arial" w:eastAsia="Arial"/>
          <w:b/>
          <w:i w:val="0"/>
          <w:color w:val="3E5F70"/>
          <w:sz w:val="26"/>
        </w:rPr>
        <w:t>2. مرونة التكامل التقني</w:t>
      </w:r>
    </w:p>
    <w:p>
      <w:pPr>
        <w:spacing w:after="160" w:line="300" w:lineRule="auto"/>
        <w:jc w:val="right"/>
        <w:bidi w:val="1"/>
      </w:pPr>
      <w:r>
        <w:rPr>
          <w:rFonts w:ascii="Arial" w:hAnsi="Arial" w:cs="Arial" w:eastAsia="Arial"/>
          <w:b w:val="0"/>
          <w:i w:val="0"/>
          <w:color w:val="1E1E1E"/>
          <w:sz w:val="24"/>
        </w:rPr>
        <w:t>العامل: سرعة انضمام الشركاء.</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يجب أن تكون واجهات الربط واضحة، قابلة للتدرج، وتخدم الشركات الصغيرة والكبيرة على حد سواء. النجاح هنا يكمن في جعل التكامل فرصة نمو لا مشروع تقنية مرهق.</w:t>
      </w:r>
    </w:p>
    <w:p>
      <w:pPr>
        <w:pStyle w:val="Heading3"/>
        <w:spacing w:after="160" w:line="300" w:lineRule="auto" w:before="160"/>
        <w:jc w:val="right"/>
        <w:bidi w:val="1"/>
        <w:keepNext/>
      </w:pPr>
      <w:r>
        <w:rPr>
          <w:rFonts w:ascii="Arial" w:hAnsi="Arial" w:cs="Arial" w:eastAsia="Arial"/>
          <w:b/>
          <w:i w:val="0"/>
          <w:color w:val="3E5F70"/>
          <w:sz w:val="26"/>
        </w:rPr>
        <w:t>3. قبول الشركاء</w:t>
      </w:r>
    </w:p>
    <w:p>
      <w:pPr>
        <w:spacing w:after="160" w:line="300" w:lineRule="auto"/>
        <w:jc w:val="right"/>
        <w:bidi w:val="1"/>
      </w:pPr>
      <w:r>
        <w:rPr>
          <w:rFonts w:ascii="Arial" w:hAnsi="Arial" w:cs="Arial" w:eastAsia="Arial"/>
          <w:b w:val="0"/>
          <w:i w:val="0"/>
          <w:color w:val="1E1E1E"/>
          <w:sz w:val="24"/>
        </w:rPr>
        <w:t>العامل: تبني المطورين والوسطاء والتطبيقات.</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ينبغي أن يشعر الشريك بأن "عنان" يزيد قدرته السوقية ولا ينتزع عملاءه أو بياناته. لذلك يجب أن تصمم المنظومة حول مبدأ تمكين الشريك لا استبداله.</w:t>
      </w:r>
    </w:p>
    <w:p>
      <w:pPr>
        <w:pStyle w:val="Heading3"/>
        <w:spacing w:after="160" w:line="300" w:lineRule="auto" w:before="160"/>
        <w:jc w:val="right"/>
        <w:bidi w:val="1"/>
        <w:keepNext/>
      </w:pPr>
      <w:r>
        <w:rPr>
          <w:rFonts w:ascii="Arial" w:hAnsi="Arial" w:cs="Arial" w:eastAsia="Arial"/>
          <w:b/>
          <w:i w:val="0"/>
          <w:color w:val="3E5F70"/>
          <w:sz w:val="26"/>
        </w:rPr>
        <w:t>4. وضوح الحوكمة</w:t>
      </w:r>
    </w:p>
    <w:p>
      <w:pPr>
        <w:spacing w:after="160" w:line="300" w:lineRule="auto"/>
        <w:jc w:val="right"/>
        <w:bidi w:val="1"/>
      </w:pPr>
      <w:r>
        <w:rPr>
          <w:rFonts w:ascii="Arial" w:hAnsi="Arial" w:cs="Arial" w:eastAsia="Arial"/>
          <w:b w:val="0"/>
          <w:i w:val="0"/>
          <w:color w:val="1E1E1E"/>
          <w:sz w:val="24"/>
        </w:rPr>
        <w:t>العامل: حماية الحقوق والمسؤوليات.</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لا بد من تحديد مسؤولية كل طرف في إدخال البيانات، تحديثها، استخدامها، إعادة نشرها، أو تحليلها. كل غموض في الحوكمة قد يتحول إلى فقدان ثقة.</w:t>
      </w:r>
    </w:p>
    <w:p>
      <w:pPr>
        <w:pStyle w:val="Heading3"/>
        <w:spacing w:after="160" w:line="300" w:lineRule="auto" w:before="160"/>
        <w:jc w:val="right"/>
        <w:bidi w:val="1"/>
        <w:keepNext/>
      </w:pPr>
      <w:r>
        <w:rPr>
          <w:rFonts w:ascii="Arial" w:hAnsi="Arial" w:cs="Arial" w:eastAsia="Arial"/>
          <w:b/>
          <w:i w:val="0"/>
          <w:color w:val="3E5F70"/>
          <w:sz w:val="26"/>
        </w:rPr>
        <w:t>5. حماية البيانات والخصوصية</w:t>
      </w:r>
    </w:p>
    <w:p>
      <w:pPr>
        <w:spacing w:after="160" w:line="300" w:lineRule="auto"/>
        <w:jc w:val="right"/>
        <w:bidi w:val="1"/>
      </w:pPr>
      <w:r>
        <w:rPr>
          <w:rFonts w:ascii="Arial" w:hAnsi="Arial" w:cs="Arial" w:eastAsia="Arial"/>
          <w:b w:val="0"/>
          <w:i w:val="0"/>
          <w:color w:val="1E1E1E"/>
          <w:sz w:val="24"/>
        </w:rPr>
        <w:t>العامل: الامتثال والاستدامة.</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البيانات العقارية قد تتداخل مع بيانات شخصية وتجارية وحساسة. لذلك يجب أن يعتمد "عنان" على سياسات صلاحيات دقيقة، وسجلات وصول، ومراجعات امتثال دورية.</w:t>
      </w:r>
    </w:p>
    <w:p>
      <w:pPr>
        <w:pStyle w:val="Heading3"/>
        <w:spacing w:after="160" w:line="300" w:lineRule="auto" w:before="160"/>
        <w:jc w:val="right"/>
        <w:bidi w:val="1"/>
        <w:keepNext/>
      </w:pPr>
      <w:r>
        <w:rPr>
          <w:rFonts w:ascii="Arial" w:hAnsi="Arial" w:cs="Arial" w:eastAsia="Arial"/>
          <w:b/>
          <w:i w:val="0"/>
          <w:color w:val="3E5F70"/>
          <w:sz w:val="26"/>
        </w:rPr>
        <w:t>6. الربط بالمؤشرات الوطنية</w:t>
      </w:r>
    </w:p>
    <w:p>
      <w:pPr>
        <w:spacing w:after="160" w:line="300" w:lineRule="auto"/>
        <w:jc w:val="right"/>
        <w:bidi w:val="1"/>
      </w:pPr>
      <w:r>
        <w:rPr>
          <w:rFonts w:ascii="Arial" w:hAnsi="Arial" w:cs="Arial" w:eastAsia="Arial"/>
          <w:b w:val="0"/>
          <w:i w:val="0"/>
          <w:color w:val="1E1E1E"/>
          <w:sz w:val="24"/>
        </w:rPr>
        <w:t>العامل: تحويل المنتج إلى مشروع سيادي الأثر.</w:t>
      </w:r>
    </w:p>
    <w:p>
      <w:pPr>
        <w:spacing w:after="160" w:line="300" w:lineRule="auto"/>
        <w:jc w:val="right"/>
        <w:bidi w:val="1"/>
      </w:pPr>
      <w:r>
        <w:rPr>
          <w:rFonts w:ascii="Arial" w:hAnsi="Arial" w:cs="Arial" w:eastAsia="Arial"/>
          <w:b w:val="0"/>
          <w:i w:val="0"/>
          <w:color w:val="1E1E1E"/>
          <w:sz w:val="24"/>
        </w:rPr>
        <w:t>التطبيق:</w:t>
      </w:r>
    </w:p>
    <w:p>
      <w:pPr>
        <w:spacing w:after="160" w:line="300" w:lineRule="auto"/>
        <w:jc w:val="right"/>
        <w:bidi w:val="1"/>
      </w:pPr>
      <w:r>
        <w:rPr>
          <w:rFonts w:ascii="Arial" w:hAnsi="Arial" w:cs="Arial" w:eastAsia="Arial"/>
          <w:b w:val="0"/>
          <w:i w:val="0"/>
          <w:color w:val="1E1E1E"/>
          <w:sz w:val="24"/>
        </w:rPr>
        <w:t>ينبغي ربط أثر "عنان" بمؤشرات مثل كفاءة السوق، رضا المستفيد، نضج الخدمات الرقمية، تحفيز الاستثمار، وتسهيل الوصول إلى الخيارات السكنية.</w:t>
      </w:r>
    </w:p>
    <w:p>
      <w:pPr>
        <w:pStyle w:val="Heading2"/>
        <w:spacing w:after="280" w:line="300" w:lineRule="auto" w:before="0"/>
        <w:jc w:val="right"/>
        <w:bidi w:val="1"/>
        <w:keepNext/>
        <w:pageBreakBefore/>
      </w:pPr>
      <w:r>
        <w:rPr>
          <w:rFonts w:ascii="Arial" w:hAnsi="Arial" w:cs="Arial" w:eastAsia="Arial"/>
          <w:b/>
          <w:i w:val="0"/>
          <w:color w:val="1F4E5F"/>
          <w:sz w:val="30"/>
        </w:rPr>
        <w:t>مصفوفة ضمانات النجاح (Success Assurance Matrix)</w:t>
      </w:r>
    </w:p>
    <w:tbl>
      <w:tblPr>
        <w:tblStyle w:val="TableGrid"/>
        <w:tblW w:type="auto" w:w="0"/>
        <w:jc w:val="right"/>
        <w:tblLook w:firstColumn="1" w:firstRow="1" w:lastColumn="0" w:lastRow="0" w:noHBand="0" w:noVBand="1" w:val="04A0"/>
        <w:bidiVisual w:val="1"/>
      </w:tblPr>
      <w:tblGrid>
        <w:gridCol w:w="3360"/>
        <w:gridCol w:w="3360"/>
        <w:gridCol w:w="3360"/>
      </w:tblGrid>
      <w:tr>
        <w:trPr>
          <w:cantSplit/>
          <w:tblHeader/>
        </w:trPr>
        <w:tc>
          <w:tcPr>
            <w:tcW w:type="dxa" w:w="336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عامل النجاح</w:t>
            </w:r>
          </w:p>
        </w:tc>
        <w:tc>
          <w:tcPr>
            <w:tcW w:type="dxa" w:w="336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الخطورة عند الفشل</w:t>
            </w:r>
          </w:p>
        </w:tc>
        <w:tc>
          <w:tcPr>
            <w:tcW w:type="dxa" w:w="336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دور عنان والجهة في التدابير الوقائية</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جودة البيانات</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عالية: تضارب المعلومات وفقدان الثقة</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اعتماد بطاقة توصيف رقمية موحدة، وسجل تحديثات، ومراجعة دورية لجودة البيانات</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قبول الشركاء</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عالية: ضعف التبني وبقاء السوق متفرقا</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تقديم نموذج منفعة واضح للتطبيقات والمطورين والوسطاء، وإطلاق برنامج شركاء تدريجي</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مرونة التكامل</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متوسطة: بطء الانضمام وارتفاع التكلفة</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توفير واجهات API موثقة، وبيئة اختبار، وحزم تكامل حسب حجم الشريك</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حماية البيانات</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حرجة: مخاطر نظامية وثقة مؤسسية</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تطبيق صلاحيات وصول، وسجلات تدقيق، وسياسات امتثال وحوكمة بيانات</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الاستدامة المالية</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عالية: توقف الخدمة أو ضعف تطويرها</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تنويع مصادر الدخل بين اشتراكات، رسوم تكامل، تحليلات، وحزم امتثال</w:t>
            </w:r>
          </w:p>
        </w:tc>
      </w:tr>
      <w:tr>
        <w:trPr>
          <w:cantSplit/>
        </w:trPr>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القيمة الحكومية</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متوسطة: صعوبة تبرير التبني</w:t>
            </w:r>
          </w:p>
        </w:tc>
        <w:tc>
          <w:tcPr>
            <w:tcW w:type="dxa" w:w="336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ربط النتائج بمؤشرات التحول الرقمي، كفاءة السوق، رضا المستفيد، ونمو البروبتك</w:t>
            </w:r>
          </w:p>
        </w:tc>
      </w:tr>
    </w:tbl>
    <w:p>
      <w:pPr>
        <w:spacing w:after="160"/>
      </w:pPr>
    </w:p>
    <w:p>
      <w:pPr>
        <w:pStyle w:val="Heading2"/>
        <w:spacing w:after="280" w:line="300" w:lineRule="auto" w:before="0"/>
        <w:jc w:val="right"/>
        <w:bidi w:val="1"/>
        <w:keepNext/>
        <w:pageBreakBefore/>
      </w:pPr>
      <w:r>
        <w:rPr>
          <w:rFonts w:ascii="Arial" w:hAnsi="Arial" w:cs="Arial" w:eastAsia="Arial"/>
          <w:b/>
          <w:i w:val="0"/>
          <w:color w:val="1F4E5F"/>
          <w:sz w:val="30"/>
        </w:rPr>
        <w:t>الهيكل الابتكاري للمنتج</w:t>
      </w:r>
    </w:p>
    <w:p>
      <w:pPr>
        <w:pStyle w:val="Heading3"/>
        <w:spacing w:after="160" w:line="300" w:lineRule="auto" w:before="160"/>
        <w:jc w:val="right"/>
        <w:bidi w:val="1"/>
        <w:keepNext/>
      </w:pPr>
      <w:r>
        <w:rPr>
          <w:rFonts w:ascii="Arial" w:hAnsi="Arial" w:cs="Arial" w:eastAsia="Arial"/>
          <w:b/>
          <w:i w:val="0"/>
          <w:color w:val="3E5F70"/>
          <w:sz w:val="26"/>
        </w:rPr>
        <w:t>1. مسار "الاستشعار السوقي"</w:t>
      </w:r>
    </w:p>
    <w:p>
      <w:pPr>
        <w:pStyle w:val="Heading4"/>
        <w:spacing w:after="100" w:line="300" w:lineRule="auto" w:before="100"/>
        <w:jc w:val="right"/>
        <w:bidi w:val="1"/>
        <w:keepNext/>
      </w:pPr>
      <w:r>
        <w:rPr>
          <w:rFonts w:ascii="Arial" w:hAnsi="Arial" w:cs="Arial" w:eastAsia="Arial"/>
          <w:b/>
          <w:i/>
          <w:color w:val="3E5F70"/>
          <w:sz w:val="23"/>
        </w:rPr>
        <w:t>تحليل نبض الطلب</w:t>
      </w:r>
    </w:p>
    <w:p>
      <w:pPr>
        <w:spacing w:after="160" w:line="300" w:lineRule="auto"/>
        <w:jc w:val="right"/>
        <w:bidi w:val="1"/>
      </w:pPr>
      <w:r>
        <w:rPr>
          <w:rFonts w:ascii="Arial" w:hAnsi="Arial" w:cs="Arial" w:eastAsia="Arial"/>
          <w:b w:val="0"/>
          <w:i w:val="0"/>
          <w:color w:val="1E1E1E"/>
          <w:sz w:val="24"/>
        </w:rPr>
        <w:t>استخدام البيانات لفهم المناطق ذات الطلب المرتفع، أنواع الوحدات المطلوبة، سلوك المستفيدين، الفجوات السعرية، ونقاط الاحتكاك في رحلة البحث والقرار.</w:t>
      </w:r>
    </w:p>
    <w:p>
      <w:pPr>
        <w:pStyle w:val="Heading4"/>
        <w:spacing w:after="100" w:line="300" w:lineRule="auto" w:before="100"/>
        <w:jc w:val="right"/>
        <w:bidi w:val="1"/>
        <w:keepNext/>
      </w:pPr>
      <w:r>
        <w:rPr>
          <w:rFonts w:ascii="Arial" w:hAnsi="Arial" w:cs="Arial" w:eastAsia="Arial"/>
          <w:b/>
          <w:i/>
          <w:color w:val="3E5F70"/>
          <w:sz w:val="23"/>
        </w:rPr>
        <w:t>قراءة فجوة العرض</w:t>
      </w:r>
    </w:p>
    <w:p>
      <w:pPr>
        <w:spacing w:after="160" w:line="300" w:lineRule="auto"/>
        <w:jc w:val="right"/>
        <w:bidi w:val="1"/>
      </w:pPr>
      <w:r>
        <w:rPr>
          <w:rFonts w:ascii="Arial" w:hAnsi="Arial" w:cs="Arial" w:eastAsia="Arial"/>
          <w:b w:val="0"/>
          <w:i w:val="0"/>
          <w:color w:val="1E1E1E"/>
          <w:sz w:val="24"/>
        </w:rPr>
        <w:t>تحليل الفرق بين المعروض الحقيقي واحتياجات السوق، بحيث لا يبقى التطوير العقاري معتمدا على الانطباع فقط، بل على قراءة تشغيلية للسوق.</w:t>
      </w:r>
    </w:p>
    <w:p>
      <w:pPr>
        <w:pStyle w:val="Heading3"/>
        <w:spacing w:after="160" w:line="300" w:lineRule="auto" w:before="160"/>
        <w:jc w:val="right"/>
        <w:bidi w:val="1"/>
        <w:keepNext/>
      </w:pPr>
      <w:r>
        <w:rPr>
          <w:rFonts w:ascii="Arial" w:hAnsi="Arial" w:cs="Arial" w:eastAsia="Arial"/>
          <w:b/>
          <w:i w:val="0"/>
          <w:color w:val="3E5F70"/>
          <w:sz w:val="26"/>
        </w:rPr>
        <w:t>2. مسار "الربط الشريكي"</w:t>
      </w:r>
    </w:p>
    <w:p>
      <w:pPr>
        <w:pStyle w:val="Heading4"/>
        <w:spacing w:after="100" w:line="300" w:lineRule="auto" w:before="100"/>
        <w:jc w:val="right"/>
        <w:bidi w:val="1"/>
        <w:keepNext/>
      </w:pPr>
      <w:r>
        <w:rPr>
          <w:rFonts w:ascii="Arial" w:hAnsi="Arial" w:cs="Arial" w:eastAsia="Arial"/>
          <w:b/>
          <w:i/>
          <w:color w:val="3E5F70"/>
          <w:sz w:val="23"/>
        </w:rPr>
        <w:t>بوابة الشركاء</w:t>
      </w:r>
    </w:p>
    <w:p>
      <w:pPr>
        <w:spacing w:after="160" w:line="300" w:lineRule="auto"/>
        <w:jc w:val="right"/>
        <w:bidi w:val="1"/>
      </w:pPr>
      <w:r>
        <w:rPr>
          <w:rFonts w:ascii="Arial" w:hAnsi="Arial" w:cs="Arial" w:eastAsia="Arial"/>
          <w:b w:val="0"/>
          <w:i w:val="0"/>
          <w:color w:val="1E1E1E"/>
          <w:sz w:val="24"/>
        </w:rPr>
        <w:t>تتيح للتطبيقات العقارية وشركات البروبتك طلب الربط، وتحديد نوع الخدمة التي يقدمونها، ومستوى البيانات المطلوب، والالتزامات التشغيلية المرتبطة بذلك.</w:t>
      </w:r>
    </w:p>
    <w:p>
      <w:pPr>
        <w:pStyle w:val="Heading4"/>
        <w:spacing w:after="100" w:line="300" w:lineRule="auto" w:before="100"/>
        <w:jc w:val="right"/>
        <w:bidi w:val="1"/>
        <w:keepNext/>
      </w:pPr>
      <w:r>
        <w:rPr>
          <w:rFonts w:ascii="Arial" w:hAnsi="Arial" w:cs="Arial" w:eastAsia="Arial"/>
          <w:b/>
          <w:i/>
          <w:color w:val="3E5F70"/>
          <w:sz w:val="23"/>
        </w:rPr>
        <w:t>حزم التكامل</w:t>
      </w:r>
    </w:p>
    <w:p>
      <w:pPr>
        <w:spacing w:after="160" w:line="300" w:lineRule="auto"/>
        <w:jc w:val="right"/>
        <w:bidi w:val="1"/>
      </w:pPr>
      <w:r>
        <w:rPr>
          <w:rFonts w:ascii="Arial" w:hAnsi="Arial" w:cs="Arial" w:eastAsia="Arial"/>
          <w:b w:val="0"/>
          <w:i w:val="0"/>
          <w:color w:val="1E1E1E"/>
          <w:sz w:val="24"/>
        </w:rPr>
        <w:t>تقسيم التكامل إلى مستويات: مطور، وسيط، تطبيق عرض، مزود تحليل، مزود تمويل، جهة حكومية. كل مستوى له صلاحياته وبياناته ومؤشراته.</w:t>
      </w:r>
    </w:p>
    <w:p>
      <w:pPr>
        <w:pStyle w:val="Heading3"/>
        <w:spacing w:after="160" w:line="300" w:lineRule="auto" w:before="160"/>
        <w:jc w:val="right"/>
        <w:bidi w:val="1"/>
        <w:keepNext/>
      </w:pPr>
      <w:r>
        <w:rPr>
          <w:rFonts w:ascii="Arial" w:hAnsi="Arial" w:cs="Arial" w:eastAsia="Arial"/>
          <w:b/>
          <w:i w:val="0"/>
          <w:color w:val="3E5F70"/>
          <w:sz w:val="26"/>
        </w:rPr>
        <w:t>3. مسار "التشغيل الذكي"</w:t>
      </w:r>
    </w:p>
    <w:p>
      <w:pPr>
        <w:pStyle w:val="Heading4"/>
        <w:spacing w:after="100" w:line="300" w:lineRule="auto" w:before="100"/>
        <w:jc w:val="right"/>
        <w:bidi w:val="1"/>
        <w:keepNext/>
      </w:pPr>
      <w:r>
        <w:rPr>
          <w:rFonts w:ascii="Arial" w:hAnsi="Arial" w:cs="Arial" w:eastAsia="Arial"/>
          <w:b/>
          <w:i/>
          <w:color w:val="3E5F70"/>
          <w:sz w:val="23"/>
        </w:rPr>
        <w:t>إدخال واحد وتوزيع متعدد</w:t>
      </w:r>
    </w:p>
    <w:p>
      <w:pPr>
        <w:spacing w:after="160" w:line="300" w:lineRule="auto"/>
        <w:jc w:val="right"/>
        <w:bidi w:val="1"/>
      </w:pPr>
      <w:r>
        <w:rPr>
          <w:rFonts w:ascii="Arial" w:hAnsi="Arial" w:cs="Arial" w:eastAsia="Arial"/>
          <w:b w:val="0"/>
          <w:i w:val="0"/>
          <w:color w:val="1E1E1E"/>
          <w:sz w:val="24"/>
        </w:rPr>
        <w:t>يقوم المطور أو الشريك بإدخال البيانات مرة واحدة، ثم يقوم "عنان" بتحويلها إلى صيغ تشغيلية مناسبة للقنوات المختلفة، مع الحفاظ على الاتساق والتحديث المركزي.</w:t>
      </w:r>
    </w:p>
    <w:p>
      <w:pPr>
        <w:pStyle w:val="Heading4"/>
        <w:spacing w:after="100" w:line="300" w:lineRule="auto" w:before="100"/>
        <w:jc w:val="right"/>
        <w:bidi w:val="1"/>
        <w:keepNext/>
      </w:pPr>
      <w:r>
        <w:rPr>
          <w:rFonts w:ascii="Arial" w:hAnsi="Arial" w:cs="Arial" w:eastAsia="Arial"/>
          <w:b/>
          <w:i/>
          <w:color w:val="3E5F70"/>
          <w:sz w:val="23"/>
        </w:rPr>
        <w:t>ذكاء المطابقة</w:t>
      </w:r>
    </w:p>
    <w:p>
      <w:pPr>
        <w:spacing w:after="160" w:line="300" w:lineRule="auto"/>
        <w:jc w:val="right"/>
        <w:bidi w:val="1"/>
      </w:pPr>
      <w:r>
        <w:rPr>
          <w:rFonts w:ascii="Arial" w:hAnsi="Arial" w:cs="Arial" w:eastAsia="Arial"/>
          <w:b w:val="0"/>
          <w:i w:val="0"/>
          <w:color w:val="1E1E1E"/>
          <w:sz w:val="24"/>
        </w:rPr>
        <w:t>استخدام الذكاء الاصطناعي لفهم احتياج المستفيد وربطه بالوحدات والمشاريع المناسبة، بدلا من الاعتماد على البحث النصي أو التصنيفات الجامدة فقط.</w:t>
      </w:r>
    </w:p>
    <w:p>
      <w:pPr>
        <w:pStyle w:val="Heading3"/>
        <w:spacing w:after="160" w:line="300" w:lineRule="auto" w:before="160"/>
        <w:jc w:val="right"/>
        <w:bidi w:val="1"/>
        <w:keepNext/>
      </w:pPr>
      <w:r>
        <w:rPr>
          <w:rFonts w:ascii="Arial" w:hAnsi="Arial" w:cs="Arial" w:eastAsia="Arial"/>
          <w:b/>
          <w:i w:val="0"/>
          <w:color w:val="3E5F70"/>
          <w:sz w:val="26"/>
        </w:rPr>
        <w:t>4. مسار "الحوكمة والامتثال"</w:t>
      </w:r>
    </w:p>
    <w:p>
      <w:pPr>
        <w:pStyle w:val="Heading4"/>
        <w:spacing w:after="100" w:line="300" w:lineRule="auto" w:before="100"/>
        <w:jc w:val="right"/>
        <w:bidi w:val="1"/>
        <w:keepNext/>
      </w:pPr>
      <w:r>
        <w:rPr>
          <w:rFonts w:ascii="Arial" w:hAnsi="Arial" w:cs="Arial" w:eastAsia="Arial"/>
          <w:b/>
          <w:i/>
          <w:color w:val="3E5F70"/>
          <w:sz w:val="23"/>
        </w:rPr>
        <w:t>سجل الوصول والتحديث</w:t>
      </w:r>
    </w:p>
    <w:p>
      <w:pPr>
        <w:spacing w:after="160" w:line="300" w:lineRule="auto"/>
        <w:jc w:val="right"/>
        <w:bidi w:val="1"/>
      </w:pPr>
      <w:r>
        <w:rPr>
          <w:rFonts w:ascii="Arial" w:hAnsi="Arial" w:cs="Arial" w:eastAsia="Arial"/>
          <w:b w:val="0"/>
          <w:i w:val="0"/>
          <w:color w:val="1E1E1E"/>
          <w:sz w:val="24"/>
        </w:rPr>
        <w:t>تسجيل من أدخل البيانات، ومن عدلها، ومن استخدمها، ومتى تم تحديثها، بما يرفع الثقة ويقلل النزاعات التشغيلية.</w:t>
      </w:r>
    </w:p>
    <w:p>
      <w:pPr>
        <w:pStyle w:val="Heading4"/>
        <w:spacing w:after="100" w:line="300" w:lineRule="auto" w:before="100"/>
        <w:jc w:val="right"/>
        <w:bidi w:val="1"/>
        <w:keepNext/>
      </w:pPr>
      <w:r>
        <w:rPr>
          <w:rFonts w:ascii="Arial" w:hAnsi="Arial" w:cs="Arial" w:eastAsia="Arial"/>
          <w:b/>
          <w:i/>
          <w:color w:val="3E5F70"/>
          <w:sz w:val="23"/>
        </w:rPr>
        <w:t>لوحة الامتثال</w:t>
      </w:r>
    </w:p>
    <w:p>
      <w:pPr>
        <w:spacing w:after="160" w:line="300" w:lineRule="auto"/>
        <w:jc w:val="right"/>
        <w:bidi w:val="1"/>
      </w:pPr>
      <w:r>
        <w:rPr>
          <w:rFonts w:ascii="Arial" w:hAnsi="Arial" w:cs="Arial" w:eastAsia="Arial"/>
          <w:b w:val="0"/>
          <w:i w:val="0"/>
          <w:color w:val="1E1E1E"/>
          <w:sz w:val="24"/>
        </w:rPr>
        <w:t>تزويد الجهة المنظمة بلوحة تتابع جودة البيانات، التزام الشركاء، مستوى التفاعل، ومؤشرات السوق الرقمية.</w:t>
      </w:r>
    </w:p>
    <w:p>
      <w:pPr>
        <w:pStyle w:val="Heading2"/>
        <w:spacing w:after="280" w:line="300" w:lineRule="auto" w:before="0"/>
        <w:jc w:val="right"/>
        <w:bidi w:val="1"/>
        <w:keepNext/>
        <w:pageBreakBefore/>
      </w:pPr>
      <w:r>
        <w:rPr>
          <w:rFonts w:ascii="Arial" w:hAnsi="Arial" w:cs="Arial" w:eastAsia="Arial"/>
          <w:b/>
          <w:i w:val="0"/>
          <w:color w:val="1F4E5F"/>
          <w:sz w:val="30"/>
        </w:rPr>
        <w:t>شكل المنتج النهائي المقدم للجهة الحكومية</w:t>
      </w:r>
    </w:p>
    <w:p>
      <w:pPr>
        <w:spacing w:after="160" w:line="300" w:lineRule="auto"/>
        <w:jc w:val="right"/>
        <w:bidi w:val="1"/>
      </w:pPr>
      <w:r>
        <w:rPr>
          <w:rFonts w:ascii="Arial" w:hAnsi="Arial" w:cs="Arial" w:eastAsia="Arial"/>
          <w:b w:val="0"/>
          <w:i w:val="0"/>
          <w:color w:val="1E1E1E"/>
          <w:sz w:val="24"/>
        </w:rPr>
        <w:t>"حقيبة عنان للتفعيل الرقمي المتكامل للقطاع العقاري"</w:t>
      </w:r>
    </w:p>
    <w:tbl>
      <w:tblPr>
        <w:tblStyle w:val="TableGrid"/>
        <w:tblW w:type="auto" w:w="0"/>
        <w:jc w:val="right"/>
        <w:tblLook w:firstColumn="1" w:firstRow="1" w:lastColumn="0" w:lastRow="0" w:noHBand="0" w:noVBand="1" w:val="04A0"/>
        <w:bidiVisual w:val="1"/>
      </w:tblPr>
      <w:tblGrid>
        <w:gridCol w:w="5040"/>
        <w:gridCol w:w="5040"/>
      </w:tblGrid>
      <w:tr>
        <w:trPr>
          <w:cantSplit/>
          <w:tblHeader/>
        </w:trPr>
        <w:tc>
          <w:tcPr>
            <w:tcW w:type="dxa" w:w="504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المكون</w:t>
            </w:r>
          </w:p>
        </w:tc>
        <w:tc>
          <w:tcPr>
            <w:tcW w:type="dxa" w:w="504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الوصف</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خريطة التكامل العقاري</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تصور يوضح علاقة الجهة الحكومية بالمطورين والوسطاء والتطبيقات ومزودي الخدمات عبر عنان</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نموذج البيانات الموحد</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قالب تشغيلي لتوحيد بيانات المشاريع والوحدات والعروض والشركاء</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بوابة الشركاء</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مدخل رقمي للتطبيقات وشركات البروبتك والمطورين للربط وإدارة الصلاحيات</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لوحة مؤشرات السوق</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Dashboard تعرض جودة البيانات، حركة العرض والطلب، نشاط الشركاء، ومعدلات التحويل</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دليل الحوكمة</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وثيقة تحدد أدوار الأطراف، مستويات الوصول، مسؤوليات التحديث، وضوابط الاستخدام</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مصفوفة الأثر</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تقرير يربط أثر المنتج بمؤشرات التحول الرقمي، كفاءة السوق، الشفافية، ورضا المستفيد</w:t>
            </w:r>
          </w:p>
        </w:tc>
      </w:tr>
      <w:tr>
        <w:trPr>
          <w:cantSplit/>
        </w:trPr>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برنامج الشركاء</w:t>
            </w:r>
          </w:p>
        </w:tc>
        <w:tc>
          <w:tcPr>
            <w:tcW w:type="dxa" w:w="504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حزمة تمكين للتطبيقات العقارية وشركات التقنية العقارية لبناء خدمات متصلة بعنان</w:t>
            </w:r>
          </w:p>
        </w:tc>
      </w:tr>
    </w:tbl>
    <w:p>
      <w:pPr>
        <w:spacing w:after="160"/>
      </w:pPr>
    </w:p>
    <w:p>
      <w:pPr>
        <w:pStyle w:val="Heading2"/>
        <w:spacing w:after="280" w:line="300" w:lineRule="auto" w:before="0"/>
        <w:jc w:val="right"/>
        <w:bidi w:val="1"/>
        <w:keepNext/>
        <w:pageBreakBefore/>
      </w:pPr>
      <w:r>
        <w:rPr>
          <w:rFonts w:ascii="Arial" w:hAnsi="Arial" w:cs="Arial" w:eastAsia="Arial"/>
          <w:b/>
          <w:i w:val="0"/>
          <w:color w:val="1F4E5F"/>
          <w:sz w:val="30"/>
        </w:rPr>
        <w:t>مثال تطبيقي (Case Study)</w:t>
      </w:r>
    </w:p>
    <w:p>
      <w:pPr>
        <w:spacing w:after="160" w:line="300" w:lineRule="auto"/>
        <w:jc w:val="right"/>
        <w:bidi w:val="1"/>
      </w:pPr>
      <w:r>
        <w:rPr>
          <w:rFonts w:ascii="Arial" w:hAnsi="Arial" w:cs="Arial" w:eastAsia="Arial"/>
          <w:b w:val="0"/>
          <w:i w:val="0"/>
          <w:color w:val="1E1E1E"/>
          <w:sz w:val="24"/>
        </w:rPr>
        <w:t>لنفترض أن مطورا عقاريا يطلق مشروعا سكنيا جديدا في إحدى مدن المملكة.</w:t>
      </w:r>
    </w:p>
    <w:p>
      <w:pPr>
        <w:spacing w:after="160" w:line="300" w:lineRule="auto"/>
        <w:jc w:val="right"/>
        <w:bidi w:val="1"/>
      </w:pPr>
      <w:r>
        <w:rPr>
          <w:rFonts w:ascii="Arial" w:hAnsi="Arial" w:cs="Arial" w:eastAsia="Arial"/>
          <w:b w:val="0"/>
          <w:i w:val="0"/>
          <w:color w:val="1E1E1E"/>
          <w:sz w:val="24"/>
        </w:rPr>
        <w:t>في النموذج التقليدي، يقوم فريق المطور بإدخال بيانات المشروع في موقعه، ثم إرسالها إلى الوسطاء، ثم إعادة صياغتها لكل تطبيق عقاري، ثم تحديث الأسعار والتوفر يدويا، ثم معالجة استفسارات متكررة بسبب اختلاف المعلومات بين القنوات.</w:t>
      </w:r>
    </w:p>
    <w:p>
      <w:pPr>
        <w:spacing w:after="160" w:line="300" w:lineRule="auto"/>
        <w:jc w:val="right"/>
        <w:bidi w:val="1"/>
      </w:pPr>
      <w:r>
        <w:rPr>
          <w:rFonts w:ascii="Arial" w:hAnsi="Arial" w:cs="Arial" w:eastAsia="Arial"/>
          <w:b w:val="0"/>
          <w:i w:val="0"/>
          <w:color w:val="1E1E1E"/>
          <w:sz w:val="24"/>
        </w:rPr>
        <w:t>أما في نموذج "عنان"، فيقوم المطور بإدخال بيانات المشروع مرة واحدة عبر بطاقة توصيف رقمية. يتم التحقق من الحد الأدنى من البيانات، ثم تتحول البطاقة إلى مصدر تشغيل يغذي:</w:t>
      </w:r>
    </w:p>
    <w:p>
      <w:pPr>
        <w:spacing w:after="160" w:line="300" w:lineRule="auto"/>
        <w:jc w:val="right"/>
        <w:bidi w:val="1"/>
      </w:pPr>
      <w:r>
        <w:rPr>
          <w:rFonts w:ascii="Arial" w:hAnsi="Arial" w:cs="Arial" w:eastAsia="Arial"/>
          <w:b w:val="0"/>
          <w:i w:val="0"/>
          <w:color w:val="1E1E1E"/>
          <w:sz w:val="24"/>
        </w:rPr>
        <w:t>1. الوسطاء المعتمدين بالمعلومات المصرح لهم بها.</w:t>
      </w:r>
    </w:p>
    <w:p>
      <w:pPr>
        <w:spacing w:after="160" w:line="300" w:lineRule="auto"/>
        <w:jc w:val="right"/>
        <w:bidi w:val="1"/>
      </w:pPr>
      <w:r>
        <w:rPr>
          <w:rFonts w:ascii="Arial" w:hAnsi="Arial" w:cs="Arial" w:eastAsia="Arial"/>
          <w:b w:val="0"/>
          <w:i w:val="0"/>
          <w:color w:val="1E1E1E"/>
          <w:sz w:val="24"/>
        </w:rPr>
        <w:t>2. التطبيقات العقارية الشريكة بصيغ عرض مناسبة.</w:t>
      </w:r>
    </w:p>
    <w:p>
      <w:pPr>
        <w:spacing w:after="160" w:line="300" w:lineRule="auto"/>
        <w:jc w:val="right"/>
        <w:bidi w:val="1"/>
      </w:pPr>
      <w:r>
        <w:rPr>
          <w:rFonts w:ascii="Arial" w:hAnsi="Arial" w:cs="Arial" w:eastAsia="Arial"/>
          <w:b w:val="0"/>
          <w:i w:val="0"/>
          <w:color w:val="1E1E1E"/>
          <w:sz w:val="24"/>
        </w:rPr>
        <w:t>3. لوحة التحليلات بمؤشرات الطلب والتفاعل.</w:t>
      </w:r>
    </w:p>
    <w:p>
      <w:pPr>
        <w:spacing w:after="160" w:line="300" w:lineRule="auto"/>
        <w:jc w:val="right"/>
        <w:bidi w:val="1"/>
      </w:pPr>
      <w:r>
        <w:rPr>
          <w:rFonts w:ascii="Arial" w:hAnsi="Arial" w:cs="Arial" w:eastAsia="Arial"/>
          <w:b w:val="0"/>
          <w:i w:val="0"/>
          <w:color w:val="1E1E1E"/>
          <w:sz w:val="24"/>
        </w:rPr>
        <w:t>4. المستفيد النهائي بتجربة بحث أكثر وضوحا.</w:t>
      </w:r>
    </w:p>
    <w:p>
      <w:pPr>
        <w:spacing w:after="160" w:line="300" w:lineRule="auto"/>
        <w:jc w:val="right"/>
        <w:bidi w:val="1"/>
      </w:pPr>
      <w:r>
        <w:rPr>
          <w:rFonts w:ascii="Arial" w:hAnsi="Arial" w:cs="Arial" w:eastAsia="Arial"/>
          <w:b w:val="0"/>
          <w:i w:val="0"/>
          <w:color w:val="1E1E1E"/>
          <w:sz w:val="24"/>
        </w:rPr>
        <w:t>5. الجهة الحكومية بقراءة أفضل لحركة السوق.</w:t>
      </w:r>
    </w:p>
    <w:p>
      <w:pPr>
        <w:spacing w:after="160" w:line="300" w:lineRule="auto"/>
        <w:jc w:val="right"/>
        <w:bidi w:val="1"/>
      </w:pPr>
      <w:r>
        <w:rPr>
          <w:rFonts w:ascii="Arial" w:hAnsi="Arial" w:cs="Arial" w:eastAsia="Arial"/>
          <w:b w:val="0"/>
          <w:i w:val="0"/>
          <w:color w:val="1E1E1E"/>
          <w:sz w:val="24"/>
        </w:rPr>
        <w:t>وبذلك لا يعود المشروع ملفا يتكرر نسخه، بل يصبح أصلا رقميا متحركا، ينتج بيانات، ويقيس اهتمام السوق، ويوجه المطور، ويمكن التطبيقات، ويعزز الشفافية.</w:t>
      </w:r>
    </w:p>
    <w:p>
      <w:pPr>
        <w:pStyle w:val="Heading2"/>
        <w:spacing w:after="280" w:line="300" w:lineRule="auto" w:before="0"/>
        <w:jc w:val="right"/>
        <w:bidi w:val="1"/>
        <w:keepNext/>
        <w:pageBreakBefore/>
      </w:pPr>
      <w:r>
        <w:rPr>
          <w:rFonts w:ascii="Arial" w:hAnsi="Arial" w:cs="Arial" w:eastAsia="Arial"/>
          <w:b/>
          <w:i w:val="0"/>
          <w:color w:val="1F4E5F"/>
          <w:sz w:val="30"/>
        </w:rPr>
        <w:t>تصميم النموذج المالي (Financial Model)</w:t>
      </w:r>
    </w:p>
    <w:p>
      <w:pPr>
        <w:spacing w:after="160" w:line="300" w:lineRule="auto"/>
        <w:jc w:val="right"/>
        <w:bidi w:val="1"/>
      </w:pPr>
      <w:r>
        <w:rPr>
          <w:rFonts w:ascii="Arial" w:hAnsi="Arial" w:cs="Arial" w:eastAsia="Arial"/>
          <w:b w:val="0"/>
          <w:i w:val="0"/>
          <w:color w:val="1E1E1E"/>
          <w:sz w:val="24"/>
        </w:rPr>
        <w:t>هيكل النموذج المالي المقترح الذي يضمن تدفق العوائد لجميع الأطراف:</w:t>
      </w:r>
    </w:p>
    <w:p>
      <w:pPr>
        <w:pStyle w:val="Heading3"/>
        <w:spacing w:after="160" w:line="300" w:lineRule="auto" w:before="160"/>
        <w:jc w:val="right"/>
        <w:bidi w:val="1"/>
        <w:keepNext/>
      </w:pPr>
      <w:r>
        <w:rPr>
          <w:rFonts w:ascii="Arial" w:hAnsi="Arial" w:cs="Arial" w:eastAsia="Arial"/>
          <w:b/>
          <w:i w:val="0"/>
          <w:color w:val="3E5F70"/>
          <w:sz w:val="26"/>
        </w:rPr>
        <w:t>1. نموذج "الاشتراك مقابل التشغيل"</w:t>
      </w:r>
    </w:p>
    <w:p>
      <w:pPr>
        <w:spacing w:after="160" w:line="300" w:lineRule="auto"/>
        <w:jc w:val="right"/>
        <w:bidi w:val="1"/>
      </w:pPr>
      <w:r>
        <w:rPr>
          <w:rFonts w:ascii="Arial" w:hAnsi="Arial" w:cs="Arial" w:eastAsia="Arial"/>
          <w:b w:val="0"/>
          <w:i w:val="0"/>
          <w:color w:val="1E1E1E"/>
          <w:sz w:val="24"/>
        </w:rPr>
        <w:t>بدلا من تحميل الجهة الحكومية تكلفة بناء وتشغيل كل قناة رقمية، يعتمد "عنان" على نموذج اشتراكات تشغيلية للشركاء بحسب مستوى الاستخدام وحجم البيانات ونوع الخدمة.</w:t>
      </w:r>
    </w:p>
    <w:p>
      <w:pPr>
        <w:pStyle w:val="Heading4"/>
        <w:spacing w:after="100" w:line="300" w:lineRule="auto" w:before="100"/>
        <w:jc w:val="right"/>
        <w:bidi w:val="1"/>
        <w:keepNext/>
      </w:pPr>
      <w:r>
        <w:rPr>
          <w:rFonts w:ascii="Arial" w:hAnsi="Arial" w:cs="Arial" w:eastAsia="Arial"/>
          <w:b/>
          <w:i/>
          <w:color w:val="3E5F70"/>
          <w:sz w:val="23"/>
        </w:rPr>
        <w:t>المطورون</w:t>
      </w:r>
    </w:p>
    <w:p>
      <w:pPr>
        <w:spacing w:after="160" w:line="300" w:lineRule="auto"/>
        <w:jc w:val="right"/>
        <w:bidi w:val="1"/>
      </w:pPr>
      <w:r>
        <w:rPr>
          <w:rFonts w:ascii="Arial" w:hAnsi="Arial" w:cs="Arial" w:eastAsia="Arial"/>
          <w:b w:val="0"/>
          <w:i w:val="0"/>
          <w:color w:val="1E1E1E"/>
          <w:sz w:val="24"/>
        </w:rPr>
        <w:t>يدفعون مقابل إدارة بيانات مشاريعهم وتوزيعها وتشغيلها عبر شبكة الشركاء، مع الحصول على تحليلات الطلب والتفاعل.</w:t>
      </w:r>
    </w:p>
    <w:p>
      <w:pPr>
        <w:pStyle w:val="Heading4"/>
        <w:spacing w:after="100" w:line="300" w:lineRule="auto" w:before="100"/>
        <w:jc w:val="right"/>
        <w:bidi w:val="1"/>
        <w:keepNext/>
      </w:pPr>
      <w:r>
        <w:rPr>
          <w:rFonts w:ascii="Arial" w:hAnsi="Arial" w:cs="Arial" w:eastAsia="Arial"/>
          <w:b/>
          <w:i/>
          <w:color w:val="3E5F70"/>
          <w:sz w:val="23"/>
        </w:rPr>
        <w:t>التطبيقات العقارية</w:t>
      </w:r>
    </w:p>
    <w:p>
      <w:pPr>
        <w:spacing w:after="160" w:line="300" w:lineRule="auto"/>
        <w:jc w:val="right"/>
        <w:bidi w:val="1"/>
      </w:pPr>
      <w:r>
        <w:rPr>
          <w:rFonts w:ascii="Arial" w:hAnsi="Arial" w:cs="Arial" w:eastAsia="Arial"/>
          <w:b w:val="0"/>
          <w:i w:val="0"/>
          <w:color w:val="1E1E1E"/>
          <w:sz w:val="24"/>
        </w:rPr>
        <w:t>تدفع مقابل الوصول المنظم إلى بيانات موثوقة أو مقابل حزم تكامل متقدمة، بما يخفض تكلفة بناء قواعد بيانات منفصلة.</w:t>
      </w:r>
    </w:p>
    <w:p>
      <w:pPr>
        <w:pStyle w:val="Heading4"/>
        <w:spacing w:after="100" w:line="300" w:lineRule="auto" w:before="100"/>
        <w:jc w:val="right"/>
        <w:bidi w:val="1"/>
        <w:keepNext/>
      </w:pPr>
      <w:r>
        <w:rPr>
          <w:rFonts w:ascii="Arial" w:hAnsi="Arial" w:cs="Arial" w:eastAsia="Arial"/>
          <w:b/>
          <w:i/>
          <w:color w:val="3E5F70"/>
          <w:sz w:val="23"/>
        </w:rPr>
        <w:t>مزودو الخدمات</w:t>
      </w:r>
    </w:p>
    <w:p>
      <w:pPr>
        <w:spacing w:after="160" w:line="300" w:lineRule="auto"/>
        <w:jc w:val="right"/>
        <w:bidi w:val="1"/>
      </w:pPr>
      <w:r>
        <w:rPr>
          <w:rFonts w:ascii="Arial" w:hAnsi="Arial" w:cs="Arial" w:eastAsia="Arial"/>
          <w:b w:val="0"/>
          <w:i w:val="0"/>
          <w:color w:val="1E1E1E"/>
          <w:sz w:val="24"/>
        </w:rPr>
        <w:t>يدفعون مقابل الارتباط بمنظومة السوق وتقديم خدماتهم في التمويل، التقييم، التحليلات، إدارة العملاء، أو التسويق.</w:t>
      </w:r>
    </w:p>
    <w:p>
      <w:pPr>
        <w:pStyle w:val="Heading4"/>
        <w:spacing w:after="100" w:line="300" w:lineRule="auto" w:before="100"/>
        <w:jc w:val="right"/>
        <w:bidi w:val="1"/>
        <w:keepNext/>
      </w:pPr>
      <w:r>
        <w:rPr>
          <w:rFonts w:ascii="Arial" w:hAnsi="Arial" w:cs="Arial" w:eastAsia="Arial"/>
          <w:b/>
          <w:i/>
          <w:color w:val="3E5F70"/>
          <w:sz w:val="23"/>
        </w:rPr>
        <w:t>الجهة الحكومية</w:t>
      </w:r>
    </w:p>
    <w:p>
      <w:pPr>
        <w:spacing w:after="160" w:line="300" w:lineRule="auto"/>
        <w:jc w:val="right"/>
        <w:bidi w:val="1"/>
      </w:pPr>
      <w:r>
        <w:rPr>
          <w:rFonts w:ascii="Arial" w:hAnsi="Arial" w:cs="Arial" w:eastAsia="Arial"/>
          <w:b w:val="0"/>
          <w:i w:val="0"/>
          <w:color w:val="1E1E1E"/>
          <w:sz w:val="24"/>
        </w:rPr>
        <w:t>تحصل على لوحة مؤشرات وحوكمة وقراءة للسوق دون أن تتحمل وحدها كامل عبء التشغيل أو بناء كل خدمة فرعية.</w:t>
      </w:r>
    </w:p>
    <w:p>
      <w:pPr>
        <w:pStyle w:val="Heading3"/>
        <w:spacing w:after="160" w:line="300" w:lineRule="auto" w:before="160"/>
        <w:jc w:val="right"/>
        <w:bidi w:val="1"/>
        <w:keepNext/>
        <w:pageBreakBefore/>
      </w:pPr>
      <w:r>
        <w:rPr>
          <w:rFonts w:ascii="Arial" w:hAnsi="Arial" w:cs="Arial" w:eastAsia="Arial"/>
          <w:b/>
          <w:i w:val="0"/>
          <w:color w:val="3E5F70"/>
          <w:sz w:val="26"/>
        </w:rPr>
        <w:t>2. مصفوفة توزيع العوائد التشغيلية</w:t>
      </w:r>
    </w:p>
    <w:tbl>
      <w:tblPr>
        <w:tblStyle w:val="TableGrid"/>
        <w:tblW w:type="auto" w:w="0"/>
        <w:jc w:val="right"/>
        <w:tblLook w:firstColumn="1" w:firstRow="1" w:lastColumn="0" w:lastRow="0" w:noHBand="0" w:noVBand="1" w:val="04A0"/>
        <w:bidiVisual w:val="1"/>
      </w:tblPr>
      <w:tblGrid>
        <w:gridCol w:w="2520"/>
        <w:gridCol w:w="2520"/>
        <w:gridCol w:w="2520"/>
        <w:gridCol w:w="2520"/>
      </w:tblGrid>
      <w:tr>
        <w:trPr>
          <w:cantSplit/>
          <w:tblHeader/>
        </w:trPr>
        <w:tc>
          <w:tcPr>
            <w:tcW w:type="dxa" w:w="252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الطرف</w:t>
            </w:r>
          </w:p>
        </w:tc>
        <w:tc>
          <w:tcPr>
            <w:tcW w:type="dxa" w:w="252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المساهمة</w:t>
            </w:r>
          </w:p>
        </w:tc>
        <w:tc>
          <w:tcPr>
            <w:tcW w:type="dxa" w:w="252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العائد المادي</w:t>
            </w:r>
          </w:p>
        </w:tc>
        <w:tc>
          <w:tcPr>
            <w:tcW w:type="dxa" w:w="2520"/>
            <w:vAlign w:val="center"/>
            <w:tcMar>
              <w:top w:w="140" w:type="dxa"/>
              <w:start w:w="140" w:type="dxa"/>
              <w:bottom w:w="140" w:type="dxa"/>
              <w:end w:w="140" w:type="dxa"/>
            </w:tcMar>
            <w:shd w:fill="1F4E5F"/>
          </w:tcPr>
          <w:p>
            <w:pPr>
              <w:spacing w:after="0" w:line="276" w:lineRule="auto"/>
              <w:jc w:val="right"/>
              <w:bidi w:val="1"/>
            </w:pPr>
            <w:r/>
            <w:r>
              <w:rPr>
                <w:rFonts w:ascii="Arial" w:hAnsi="Arial" w:cs="Arial" w:eastAsia="Arial"/>
                <w:b/>
                <w:color w:val="FFFFFF"/>
                <w:sz w:val="21"/>
              </w:rPr>
              <w:t>العائد الاستراتيجي</w:t>
            </w:r>
          </w:p>
        </w:tc>
      </w:tr>
      <w:tr>
        <w:trPr>
          <w:cantSplit/>
        </w:trPr>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الجهة الحكومية</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التمكين التنظيمي، الاعتماد، وربط المبادرة بالمؤشرات الوطنية</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خفض تكلفة الرقابة والتشغيل الرقمي المباشر</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رفع الشفافية، كفاءة السوق، نضج الخدمات الرقمية، وتحسين تجربة المستفيد</w:t>
            </w:r>
          </w:p>
        </w:tc>
      </w:tr>
      <w:tr>
        <w:trPr>
          <w:cantSplit/>
        </w:trPr>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عنان</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البنية التشغيلية، التكامل، الذكاء الاصطناعي، ولوحات المؤشرات</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اشتراكات، رسوم تكامل، خدمات تحليل، وحزم امتثال</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ترسيخ موقعه كمركز تمكين للبروبتك والسوق العقاري</w:t>
            </w:r>
          </w:p>
        </w:tc>
      </w:tr>
      <w:tr>
        <w:trPr>
          <w:cantSplit/>
        </w:trPr>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المطورون</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بيانات المشاريع والوحدات والتحديثات</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خفض تكلفة التوزيع والتشغيل، وزيادة فرص التحويل</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وصول أوسع، بيانات طلب أوضح، وثقة أعلى لدى السوق</w:t>
            </w:r>
          </w:p>
        </w:tc>
      </w:tr>
      <w:tr>
        <w:trPr>
          <w:cantSplit/>
        </w:trPr>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التطبيقات والشركات التقنية</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تجربة المستخدم، الخدمات المتخصصة، وقنوات الوصول</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إيرادات خدمات واشتراكات وتجارب مضافة</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نمو أسرع دون بناء كل البنية من الصفر</w:t>
            </w:r>
          </w:p>
        </w:tc>
      </w:tr>
      <w:tr>
        <w:trPr>
          <w:cantSplit/>
        </w:trPr>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الوسطاء</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التفاعل الميداني، إدارة العملاء، وإغلاق الفرص</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فرص مبيعات منظمة وبيانات أكثر دقة</w:t>
            </w:r>
          </w:p>
        </w:tc>
        <w:tc>
          <w:tcPr>
            <w:tcW w:type="dxa" w:w="2520"/>
            <w:vAlign w:val="center"/>
            <w:tcMar>
              <w:top w:w="140" w:type="dxa"/>
              <w:start w:w="140" w:type="dxa"/>
              <w:bottom w:w="140" w:type="dxa"/>
              <w:end w:w="140" w:type="dxa"/>
            </w:tcMar>
          </w:tcPr>
          <w:p>
            <w:pPr>
              <w:spacing w:after="0" w:line="276" w:lineRule="auto"/>
              <w:jc w:val="right"/>
              <w:bidi w:val="1"/>
            </w:pPr>
            <w:r/>
            <w:r>
              <w:rPr>
                <w:rFonts w:ascii="Arial" w:hAnsi="Arial" w:cs="Arial" w:eastAsia="Arial"/>
                <w:b w:val="0"/>
                <w:color w:val="1E1E1E"/>
                <w:sz w:val="20"/>
              </w:rPr>
              <w:t>رفع الاحترافية وتقليل تضارب المعلومات</w:t>
            </w:r>
          </w:p>
        </w:tc>
      </w:tr>
    </w:tbl>
    <w:p>
      <w:pPr>
        <w:spacing w:after="160"/>
      </w:pPr>
    </w:p>
    <w:p>
      <w:pPr>
        <w:pStyle w:val="Heading3"/>
        <w:spacing w:after="160" w:line="300" w:lineRule="auto" w:before="160"/>
        <w:jc w:val="right"/>
        <w:bidi w:val="1"/>
        <w:keepNext/>
        <w:pageBreakBefore/>
      </w:pPr>
      <w:r>
        <w:rPr>
          <w:rFonts w:ascii="Arial" w:hAnsi="Arial" w:cs="Arial" w:eastAsia="Arial"/>
          <w:b/>
          <w:i w:val="0"/>
          <w:color w:val="3E5F70"/>
          <w:sz w:val="26"/>
        </w:rPr>
        <w:t>3. نموذج "الاشتراك الاستراتيجي"</w:t>
      </w:r>
    </w:p>
    <w:p>
      <w:pPr>
        <w:pStyle w:val="Heading4"/>
        <w:spacing w:after="100" w:line="300" w:lineRule="auto" w:before="100"/>
        <w:jc w:val="right"/>
        <w:bidi w:val="1"/>
        <w:keepNext/>
      </w:pPr>
      <w:r>
        <w:rPr>
          <w:rFonts w:ascii="Arial" w:hAnsi="Arial" w:cs="Arial" w:eastAsia="Arial"/>
          <w:b/>
          <w:i/>
          <w:color w:val="3E5F70"/>
          <w:sz w:val="23"/>
        </w:rPr>
        <w:t>رسوم إعداد وتشغيل</w:t>
      </w:r>
    </w:p>
    <w:p>
      <w:pPr>
        <w:spacing w:after="160" w:line="300" w:lineRule="auto"/>
        <w:jc w:val="right"/>
        <w:bidi w:val="1"/>
      </w:pPr>
      <w:r>
        <w:rPr>
          <w:rFonts w:ascii="Arial" w:hAnsi="Arial" w:cs="Arial" w:eastAsia="Arial"/>
          <w:b w:val="0"/>
          <w:i w:val="0"/>
          <w:color w:val="1E1E1E"/>
          <w:sz w:val="24"/>
        </w:rPr>
        <w:t>مبلغ أولي مقابل إعداد البيئة، بناء خريطة التكامل، توصيف البيانات، وربط الشركاء الأوائل.</w:t>
      </w:r>
    </w:p>
    <w:p>
      <w:pPr>
        <w:pStyle w:val="Heading4"/>
        <w:spacing w:after="100" w:line="300" w:lineRule="auto" w:before="100"/>
        <w:jc w:val="right"/>
        <w:bidi w:val="1"/>
        <w:keepNext/>
      </w:pPr>
      <w:r>
        <w:rPr>
          <w:rFonts w:ascii="Arial" w:hAnsi="Arial" w:cs="Arial" w:eastAsia="Arial"/>
          <w:b/>
          <w:i/>
          <w:color w:val="3E5F70"/>
          <w:sz w:val="23"/>
        </w:rPr>
        <w:t>رسوم تكامل</w:t>
      </w:r>
    </w:p>
    <w:p>
      <w:pPr>
        <w:spacing w:after="160" w:line="300" w:lineRule="auto"/>
        <w:jc w:val="right"/>
        <w:bidi w:val="1"/>
      </w:pPr>
      <w:r>
        <w:rPr>
          <w:rFonts w:ascii="Arial" w:hAnsi="Arial" w:cs="Arial" w:eastAsia="Arial"/>
          <w:b w:val="0"/>
          <w:i w:val="0"/>
          <w:color w:val="1E1E1E"/>
          <w:sz w:val="24"/>
        </w:rPr>
        <w:t>مبلغ حسب مستوى الربط وحجم البيانات وعدد العمليات.</w:t>
      </w:r>
    </w:p>
    <w:p>
      <w:pPr>
        <w:pStyle w:val="Heading4"/>
        <w:spacing w:after="100" w:line="300" w:lineRule="auto" w:before="100"/>
        <w:jc w:val="right"/>
        <w:bidi w:val="1"/>
        <w:keepNext/>
      </w:pPr>
      <w:r>
        <w:rPr>
          <w:rFonts w:ascii="Arial" w:hAnsi="Arial" w:cs="Arial" w:eastAsia="Arial"/>
          <w:b/>
          <w:i/>
          <w:color w:val="3E5F70"/>
          <w:sz w:val="23"/>
        </w:rPr>
        <w:t>رسوم تحليلات</w:t>
      </w:r>
    </w:p>
    <w:p>
      <w:pPr>
        <w:spacing w:after="160" w:line="300" w:lineRule="auto"/>
        <w:jc w:val="right"/>
        <w:bidi w:val="1"/>
      </w:pPr>
      <w:r>
        <w:rPr>
          <w:rFonts w:ascii="Arial" w:hAnsi="Arial" w:cs="Arial" w:eastAsia="Arial"/>
          <w:b w:val="0"/>
          <w:i w:val="0"/>
          <w:color w:val="1E1E1E"/>
          <w:sz w:val="24"/>
        </w:rPr>
        <w:t>اشتراك شهري أو سنوي للوحات السوق، تقارير الطلب، مؤشرات الأداء، ومصفوفات الفرص.</w:t>
      </w:r>
    </w:p>
    <w:p>
      <w:pPr>
        <w:pStyle w:val="Heading4"/>
        <w:spacing w:after="100" w:line="300" w:lineRule="auto" w:before="100"/>
        <w:jc w:val="right"/>
        <w:bidi w:val="1"/>
        <w:keepNext/>
      </w:pPr>
      <w:r>
        <w:rPr>
          <w:rFonts w:ascii="Arial" w:hAnsi="Arial" w:cs="Arial" w:eastAsia="Arial"/>
          <w:b/>
          <w:i/>
          <w:color w:val="3E5F70"/>
          <w:sz w:val="23"/>
        </w:rPr>
        <w:t>رسوم امتثال وحوكمة</w:t>
      </w:r>
    </w:p>
    <w:p>
      <w:pPr>
        <w:spacing w:after="160" w:line="300" w:lineRule="auto"/>
        <w:jc w:val="right"/>
        <w:bidi w:val="1"/>
      </w:pPr>
      <w:r>
        <w:rPr>
          <w:rFonts w:ascii="Arial" w:hAnsi="Arial" w:cs="Arial" w:eastAsia="Arial"/>
          <w:b w:val="0"/>
          <w:i w:val="0"/>
          <w:color w:val="1E1E1E"/>
          <w:sz w:val="24"/>
        </w:rPr>
        <w:t>مقابل تقارير جودة البيانات، مراجعة الصلاحيات، ومراقبة التزام الشركاء.</w:t>
      </w:r>
    </w:p>
    <w:p>
      <w:pPr>
        <w:pStyle w:val="Heading3"/>
        <w:spacing w:after="160" w:line="300" w:lineRule="auto" w:before="160"/>
        <w:jc w:val="right"/>
        <w:bidi w:val="1"/>
        <w:keepNext/>
      </w:pPr>
      <w:r>
        <w:rPr>
          <w:rFonts w:ascii="Arial" w:hAnsi="Arial" w:cs="Arial" w:eastAsia="Arial"/>
          <w:b/>
          <w:i w:val="0"/>
          <w:color w:val="3E5F70"/>
          <w:sz w:val="26"/>
        </w:rPr>
        <w:t>4. محفزات النمو</w:t>
      </w:r>
    </w:p>
    <w:p>
      <w:pPr>
        <w:pStyle w:val="Heading4"/>
        <w:spacing w:after="100" w:line="300" w:lineRule="auto" w:before="100"/>
        <w:jc w:val="right"/>
        <w:bidi w:val="1"/>
        <w:keepNext/>
      </w:pPr>
      <w:r>
        <w:rPr>
          <w:rFonts w:ascii="Arial" w:hAnsi="Arial" w:cs="Arial" w:eastAsia="Arial"/>
          <w:b/>
          <w:i/>
          <w:color w:val="3E5F70"/>
          <w:sz w:val="23"/>
        </w:rPr>
        <w:t>خصم الشريك النشط</w:t>
      </w:r>
    </w:p>
    <w:p>
      <w:pPr>
        <w:spacing w:after="160" w:line="300" w:lineRule="auto"/>
        <w:jc w:val="right"/>
        <w:bidi w:val="1"/>
      </w:pPr>
      <w:r>
        <w:rPr>
          <w:rFonts w:ascii="Arial" w:hAnsi="Arial" w:cs="Arial" w:eastAsia="Arial"/>
          <w:b w:val="0"/>
          <w:i w:val="0"/>
          <w:color w:val="1E1E1E"/>
          <w:sz w:val="24"/>
        </w:rPr>
        <w:t>يمكن تخفيض رسوم التكامل للتطبيقات التي تحقق جودة بيانات عالية أو تقدم خدمة تخدم شريحة مهمة من المستفيدين.</w:t>
      </w:r>
    </w:p>
    <w:p>
      <w:pPr>
        <w:pStyle w:val="Heading4"/>
        <w:spacing w:after="100" w:line="300" w:lineRule="auto" w:before="100"/>
        <w:jc w:val="right"/>
        <w:bidi w:val="1"/>
        <w:keepNext/>
      </w:pPr>
      <w:r>
        <w:rPr>
          <w:rFonts w:ascii="Arial" w:hAnsi="Arial" w:cs="Arial" w:eastAsia="Arial"/>
          <w:b/>
          <w:i/>
          <w:color w:val="3E5F70"/>
          <w:sz w:val="23"/>
        </w:rPr>
        <w:t>برنامج تمكين البروبتك</w:t>
      </w:r>
    </w:p>
    <w:p>
      <w:pPr>
        <w:spacing w:after="160" w:line="300" w:lineRule="auto"/>
        <w:jc w:val="right"/>
        <w:bidi w:val="1"/>
      </w:pPr>
      <w:r>
        <w:rPr>
          <w:rFonts w:ascii="Arial" w:hAnsi="Arial" w:cs="Arial" w:eastAsia="Arial"/>
          <w:b w:val="0"/>
          <w:i w:val="0"/>
          <w:color w:val="1E1E1E"/>
          <w:sz w:val="24"/>
        </w:rPr>
        <w:t>حزم منخفضة التكلفة للشركات الناشئة في التقنية العقارية، بما ينسجم مع توجهات مركز بروبتك السعودية في دعم الابتكار ورفع مساهمة الشركات التقنية في القطاع.</w:t>
      </w:r>
    </w:p>
    <w:p>
      <w:pPr>
        <w:pStyle w:val="Heading4"/>
        <w:spacing w:after="100" w:line="300" w:lineRule="auto" w:before="100"/>
        <w:jc w:val="right"/>
        <w:bidi w:val="1"/>
        <w:keepNext/>
      </w:pPr>
      <w:r>
        <w:rPr>
          <w:rFonts w:ascii="Arial" w:hAnsi="Arial" w:cs="Arial" w:eastAsia="Arial"/>
          <w:b/>
          <w:i/>
          <w:color w:val="3E5F70"/>
          <w:sz w:val="23"/>
        </w:rPr>
        <w:t>حوافز جودة البيانات</w:t>
      </w:r>
    </w:p>
    <w:p>
      <w:pPr>
        <w:spacing w:after="160" w:line="300" w:lineRule="auto"/>
        <w:jc w:val="right"/>
        <w:bidi w:val="1"/>
      </w:pPr>
      <w:r>
        <w:rPr>
          <w:rFonts w:ascii="Arial" w:hAnsi="Arial" w:cs="Arial" w:eastAsia="Arial"/>
          <w:b w:val="0"/>
          <w:i w:val="0"/>
          <w:color w:val="1E1E1E"/>
          <w:sz w:val="24"/>
        </w:rPr>
        <w:t>يمنح الشريك الذي يحافظ على تحديث البيانات ودقتها مزايا أكبر في الظهور والتحليلات ومستوى الوصول.</w:t>
      </w:r>
    </w:p>
    <w:p>
      <w:pPr>
        <w:pStyle w:val="Heading2"/>
        <w:spacing w:after="280" w:line="300" w:lineRule="auto" w:before="0"/>
        <w:jc w:val="right"/>
        <w:bidi w:val="1"/>
        <w:keepNext/>
        <w:pageBreakBefore/>
      </w:pPr>
      <w:r>
        <w:rPr>
          <w:rFonts w:ascii="Arial" w:hAnsi="Arial" w:cs="Arial" w:eastAsia="Arial"/>
          <w:b/>
          <w:i w:val="0"/>
          <w:color w:val="1F4E5F"/>
          <w:sz w:val="30"/>
        </w:rPr>
        <w:t>لماذا يعد هذا النموذج آمنا للجهات الحكومية؟</w:t>
      </w:r>
    </w:p>
    <w:p>
      <w:pPr>
        <w:spacing w:after="160" w:line="300" w:lineRule="auto"/>
        <w:jc w:val="right"/>
        <w:bidi w:val="1"/>
      </w:pPr>
      <w:r>
        <w:rPr>
          <w:rFonts w:ascii="Arial" w:hAnsi="Arial" w:cs="Arial" w:eastAsia="Arial"/>
          <w:b w:val="0"/>
          <w:i w:val="0"/>
          <w:color w:val="1E1E1E"/>
          <w:sz w:val="24"/>
        </w:rPr>
        <w:t>لأنه لا يبيع دور الدولة ولا يستبدل المنصات الحكومية، بل يعززها.</w:t>
      </w:r>
    </w:p>
    <w:p>
      <w:pPr>
        <w:spacing w:after="160" w:line="300" w:lineRule="auto"/>
        <w:jc w:val="right"/>
        <w:bidi w:val="1"/>
      </w:pPr>
      <w:r>
        <w:rPr>
          <w:rFonts w:ascii="Arial" w:hAnsi="Arial" w:cs="Arial" w:eastAsia="Arial"/>
          <w:b w:val="0"/>
          <w:i w:val="0"/>
          <w:color w:val="1E1E1E"/>
          <w:sz w:val="24"/>
        </w:rPr>
        <w:t>فالجهة الحكومية تبقى هي المنظم والممكن وصاحب الإطار، بينما يتولى "عنان" بناء طبقة تشغيل وتكامل تساعد السوق على العمل بكفاءة أعلى. وبذلك تنتقل المخاطرة التشغيلية والتطويرية إلى نموذج شراكة مع القطاع الخاص، مع احتفاظ الجهة الحكومية بحق المتابعة والحوكمة وقياس الأثر.</w:t>
      </w:r>
    </w:p>
    <w:p>
      <w:pPr>
        <w:spacing w:after="160" w:line="300" w:lineRule="auto"/>
        <w:jc w:val="right"/>
        <w:bidi w:val="1"/>
      </w:pPr>
      <w:r>
        <w:rPr>
          <w:rFonts w:ascii="Arial" w:hAnsi="Arial" w:cs="Arial" w:eastAsia="Arial"/>
          <w:b w:val="0"/>
          <w:i w:val="0"/>
          <w:color w:val="1E1E1E"/>
          <w:sz w:val="24"/>
        </w:rPr>
        <w:t>هذا النموذج آمن لأنه:</w:t>
      </w:r>
    </w:p>
    <w:p>
      <w:pPr>
        <w:spacing w:after="160" w:line="300" w:lineRule="auto"/>
        <w:jc w:val="right"/>
        <w:bidi w:val="1"/>
      </w:pPr>
      <w:r>
        <w:rPr>
          <w:rFonts w:ascii="Arial" w:hAnsi="Arial" w:cs="Arial" w:eastAsia="Arial"/>
          <w:b w:val="0"/>
          <w:i w:val="0"/>
          <w:color w:val="1E1E1E"/>
          <w:sz w:val="24"/>
        </w:rPr>
        <w:t>1. لا يلغي منصات قائمة، بل يزيد قدرتها على التكامل.</w:t>
      </w:r>
    </w:p>
    <w:p>
      <w:pPr>
        <w:spacing w:after="160" w:line="300" w:lineRule="auto"/>
        <w:jc w:val="right"/>
        <w:bidi w:val="1"/>
      </w:pPr>
      <w:r>
        <w:rPr>
          <w:rFonts w:ascii="Arial" w:hAnsi="Arial" w:cs="Arial" w:eastAsia="Arial"/>
          <w:b w:val="0"/>
          <w:i w:val="0"/>
          <w:color w:val="1E1E1E"/>
          <w:sz w:val="24"/>
        </w:rPr>
        <w:t>2. لا يفتح البيانات بلا ضوابط، بل ينظم الوصول إليها.</w:t>
      </w:r>
    </w:p>
    <w:p>
      <w:pPr>
        <w:spacing w:after="160" w:line="300" w:lineRule="auto"/>
        <w:jc w:val="right"/>
        <w:bidi w:val="1"/>
      </w:pPr>
      <w:r>
        <w:rPr>
          <w:rFonts w:ascii="Arial" w:hAnsi="Arial" w:cs="Arial" w:eastAsia="Arial"/>
          <w:b w:val="0"/>
          <w:i w:val="0"/>
          <w:color w:val="1E1E1E"/>
          <w:sz w:val="24"/>
        </w:rPr>
        <w:t>3. لا يحصر الابتكار في جهة واحدة، بل يخلق مركزا تنمو حوله التطبيقات والشركات التقنية.</w:t>
      </w:r>
    </w:p>
    <w:p>
      <w:pPr>
        <w:spacing w:after="160" w:line="300" w:lineRule="auto"/>
        <w:jc w:val="right"/>
        <w:bidi w:val="1"/>
      </w:pPr>
      <w:r>
        <w:rPr>
          <w:rFonts w:ascii="Arial" w:hAnsi="Arial" w:cs="Arial" w:eastAsia="Arial"/>
          <w:b w:val="0"/>
          <w:i w:val="0"/>
          <w:color w:val="1E1E1E"/>
          <w:sz w:val="24"/>
        </w:rPr>
        <w:t>4. لا يجعل الحكومة مشغلا لكل خدمة، بل ممكنا للسوق ومراقبا للأثر.</w:t>
      </w:r>
    </w:p>
    <w:p>
      <w:pPr>
        <w:spacing w:after="160" w:line="300" w:lineRule="auto"/>
        <w:jc w:val="right"/>
        <w:bidi w:val="1"/>
      </w:pPr>
      <w:r>
        <w:rPr>
          <w:rFonts w:ascii="Arial" w:hAnsi="Arial" w:cs="Arial" w:eastAsia="Arial"/>
          <w:b w:val="0"/>
          <w:i w:val="0"/>
          <w:color w:val="1E1E1E"/>
          <w:sz w:val="24"/>
        </w:rPr>
        <w:t>5. لا يكتفي بالربح التجاري، بل يربط العائد بمؤشرات وطنية مثل الشفافية، جودة الحياة، كفاءة السوق، والتحول الرقمي.</w:t>
      </w:r>
    </w:p>
    <w:p>
      <w:pPr>
        <w:spacing w:after="160" w:line="300" w:lineRule="auto"/>
        <w:jc w:val="right"/>
        <w:bidi w:val="1"/>
      </w:pPr>
      <w:r>
        <w:rPr>
          <w:rFonts w:ascii="Arial" w:hAnsi="Arial" w:cs="Arial" w:eastAsia="Arial"/>
          <w:b w:val="0"/>
          <w:i w:val="0"/>
          <w:color w:val="1E1E1E"/>
          <w:sz w:val="24"/>
        </w:rPr>
        <w:t>وبذلك يقدم "عنان" نموذجا يمكن وصفه بأنه:</w:t>
      </w:r>
    </w:p>
    <w:p>
      <w:pPr>
        <w:spacing w:after="160" w:line="300" w:lineRule="auto"/>
        <w:jc w:val="right"/>
        <w:bidi w:val="1"/>
      </w:pPr>
      <w:r>
        <w:rPr>
          <w:rFonts w:ascii="Arial" w:hAnsi="Arial" w:cs="Arial" w:eastAsia="Arial"/>
          <w:b w:val="0"/>
          <w:i w:val="0"/>
          <w:color w:val="1E1E1E"/>
          <w:sz w:val="24"/>
        </w:rPr>
        <w:t>(Zero-Repetition Real Estate Infrastructure)</w:t>
      </w:r>
    </w:p>
    <w:p>
      <w:pPr>
        <w:spacing w:after="160" w:line="300" w:lineRule="auto"/>
        <w:jc w:val="right"/>
        <w:bidi w:val="1"/>
      </w:pPr>
      <w:r>
        <w:rPr>
          <w:rFonts w:ascii="Arial" w:hAnsi="Arial" w:cs="Arial" w:eastAsia="Arial"/>
          <w:b w:val="0"/>
          <w:i w:val="0"/>
          <w:color w:val="1E1E1E"/>
          <w:sz w:val="24"/>
        </w:rPr>
        <w:t>أي بنية عقارية رقمية تقلل تكرار البيانات، وتزيد موثوقية السوق، وتحول التطبيقات المتفرقة إلى منظومة اقتصادية رقمية قابلة للنمو.</w:t>
      </w:r>
    </w:p>
    <w:p>
      <w:pPr>
        <w:pStyle w:val="Heading2"/>
        <w:spacing w:after="280" w:line="300" w:lineRule="auto" w:before="0"/>
        <w:jc w:val="right"/>
        <w:bidi w:val="1"/>
        <w:keepNext/>
        <w:pageBreakBefore/>
      </w:pPr>
      <w:r>
        <w:rPr>
          <w:rFonts w:ascii="Arial" w:hAnsi="Arial" w:cs="Arial" w:eastAsia="Arial"/>
          <w:b/>
          <w:i w:val="0"/>
          <w:color w:val="1F4E5F"/>
          <w:sz w:val="30"/>
        </w:rPr>
        <w:t>المراجع الرسمية التي يستند إليها التصور</w:t>
      </w:r>
    </w:p>
    <w:p>
      <w:pPr>
        <w:spacing w:after="100" w:line="300" w:lineRule="auto"/>
        <w:jc w:val="right"/>
        <w:bidi w:val="1"/>
      </w:pPr>
      <w:r>
        <w:rPr>
          <w:rFonts w:ascii="Arial" w:hAnsi="Arial" w:cs="Arial" w:eastAsia="Arial"/>
          <w:color w:val="1E1E1E"/>
          <w:sz w:val="23"/>
        </w:rPr>
        <w:t>• هيئة العقار - عن الهيئة: تنظيم القطاع العقاري غير الحكومي، الإشراف عليه، تطويره، دعم التقنية والبيانات، وتشجيع الاستثمار.</w:t>
      </w:r>
    </w:p>
    <w:p>
      <w:pPr>
        <w:spacing w:after="100" w:line="300" w:lineRule="auto"/>
        <w:jc w:val="right"/>
        <w:bidi w:val="1"/>
      </w:pPr>
      <w:r>
        <w:rPr>
          <w:rFonts w:ascii="Arial" w:hAnsi="Arial" w:cs="Arial" w:eastAsia="Arial"/>
          <w:color w:val="1E1E1E"/>
          <w:sz w:val="23"/>
        </w:rPr>
        <w:t>• هيئة العقار - المؤشرات العقارية: تعزيز الشفافية، دعم القرار المبني على البيانات، وتحفيز الاستثمار عبر مؤشرات ولوحات تفاعلية.</w:t>
      </w:r>
    </w:p>
    <w:p>
      <w:pPr>
        <w:spacing w:after="100" w:line="300" w:lineRule="auto"/>
        <w:jc w:val="right"/>
        <w:bidi w:val="1"/>
      </w:pPr>
      <w:r>
        <w:rPr>
          <w:rFonts w:ascii="Arial" w:hAnsi="Arial" w:cs="Arial" w:eastAsia="Arial"/>
          <w:color w:val="1E1E1E"/>
          <w:sz w:val="23"/>
        </w:rPr>
        <w:t>• هيئة العقار - مركز بروبتيك السعودية: دعم التقنية العقارية، الشركات الناشئة، وربط رواد الأعمال بالمستثمرين.</w:t>
      </w:r>
    </w:p>
    <w:p>
      <w:pPr>
        <w:spacing w:after="100" w:line="300" w:lineRule="auto"/>
        <w:jc w:val="right"/>
        <w:bidi w:val="1"/>
      </w:pPr>
      <w:r>
        <w:rPr>
          <w:rFonts w:ascii="Arial" w:hAnsi="Arial" w:cs="Arial" w:eastAsia="Arial"/>
          <w:color w:val="1E1E1E"/>
          <w:sz w:val="23"/>
        </w:rPr>
        <w:t>• هيئة الحكومة الرقمية - Whole of Government: تكامل المنصات، مشاركة البيانات، وتحسين تجربة المستفيد عبر بنية رقمية مشتركة.</w:t>
      </w:r>
    </w:p>
    <w:p>
      <w:pPr>
        <w:spacing w:after="100" w:line="300" w:lineRule="auto"/>
        <w:jc w:val="right"/>
        <w:bidi w:val="1"/>
      </w:pPr>
      <w:r>
        <w:rPr>
          <w:rFonts w:ascii="Arial" w:hAnsi="Arial" w:cs="Arial" w:eastAsia="Arial"/>
          <w:color w:val="1E1E1E"/>
          <w:sz w:val="23"/>
        </w:rPr>
        <w:t>• رؤية السعودية 2030 - برنامج الإسكان: رفع كفاءة السوق، زيادة التملك، تحسين الخيارات السكنية، وتمكين المطورين والاستثمار.</w:t>
      </w:r>
    </w:p>
    <w:p>
      <w:pPr>
        <w:spacing w:after="100" w:line="300" w:lineRule="auto"/>
        <w:jc w:val="right"/>
        <w:bidi w:val="1"/>
      </w:pPr>
      <w:r>
        <w:rPr>
          <w:rFonts w:ascii="Arial" w:hAnsi="Arial" w:cs="Arial" w:eastAsia="Arial"/>
          <w:color w:val="1E1E1E"/>
          <w:sz w:val="23"/>
        </w:rPr>
        <w:t>• رؤية السعودية 2030 - جودة الحياة: تحسين المدن، جودة الخدمات، التجربة الحضرية، وتوسيع الخيارات التي تلبي تطلعات المجتمع.</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4E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F4E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3E5F7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3E5F7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المنتج: عنان - البنية التشغيلية الذكية للقطاع العقاري</dc:title>
  <dc:subject>وثيقة جاهزة للرفع إلى Google Docs</dc:subject>
  <dc:creator>ZaneAI / Anan</dc:creator>
  <cp:keywords/>
  <dc:description>generated by python-docx</dc:description>
  <cp:lastModifiedBy/>
  <cp:revision>1</cp:revision>
  <dcterms:created xsi:type="dcterms:W3CDTF">2013-12-23T23:15:00Z</dcterms:created>
  <dcterms:modified xsi:type="dcterms:W3CDTF">2013-12-23T23:15:00Z</dcterms:modified>
  <cp:category/>
</cp:coreProperties>
</file>