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before="600" w:after="480" w:lineRule="auto" w:line="336"/>
        <w:jc w:val="center"/>
      </w:pPr>
      <w:r>
        <w:rPr>
          <w:rFonts w:ascii="Times New Roman" w:hAnsi="Times New Roman"/>
          <w:b/>
          <w:i w:val="0"/>
          <w:sz w:val="36"/>
        </w:rPr>
        <w:t>KGMiner: Enhanced Knowledge Graph Mining with Ontology-Constrained Multi-Pass Extraction and Graph-RAG for Scientific Literature</w:t>
      </w:r>
    </w:p>
    <w:p>
      <w:pPr>
        <w:keepNext w:val="0"/>
        <w:pageBreakBefore w:val="0"/>
        <w:spacing w:before="60" w:after="60" w:lineRule="auto" w:line="384"/>
        <w:jc w:val="center"/>
      </w:pPr>
      <w:r>
        <w:rPr>
          <w:rFonts w:ascii="Times New Roman" w:hAnsi="Times New Roman"/>
          <w:b w:val="0"/>
          <w:i/>
          <w:sz w:val="24"/>
        </w:rPr>
        <w:t>Thesis submitted to</w:t>
      </w:r>
    </w:p>
    <w:p>
      <w:pPr>
        <w:keepNext w:val="0"/>
        <w:pageBreakBefore w:val="0"/>
        <w:spacing w:before="60" w:after="60" w:lineRule="auto" w:line="384"/>
        <w:jc w:val="center"/>
      </w:pPr>
      <w:r>
        <w:rPr>
          <w:rFonts w:ascii="Times New Roman" w:hAnsi="Times New Roman"/>
          <w:b/>
          <w:i w:val="0"/>
          <w:sz w:val="24"/>
        </w:rPr>
        <w:t>Indian Institute of Technology Kharagpur</w:t>
      </w:r>
    </w:p>
    <w:p>
      <w:pPr>
        <w:keepNext w:val="0"/>
        <w:pageBreakBefore w:val="0"/>
        <w:spacing w:before="60" w:after="60" w:lineRule="auto" w:line="384"/>
        <w:jc w:val="center"/>
      </w:pPr>
      <w:r>
        <w:rPr>
          <w:rFonts w:ascii="Times New Roman" w:hAnsi="Times New Roman"/>
          <w:b w:val="0"/>
          <w:i/>
          <w:sz w:val="24"/>
        </w:rPr>
        <w:t>In partial fulfilment of the requirements</w:t>
      </w:r>
    </w:p>
    <w:p>
      <w:pPr>
        <w:keepNext w:val="0"/>
        <w:pageBreakBefore w:val="0"/>
        <w:spacing w:before="60" w:after="60" w:lineRule="auto" w:line="384"/>
        <w:jc w:val="center"/>
      </w:pPr>
      <w:r>
        <w:rPr>
          <w:rFonts w:ascii="Times New Roman" w:hAnsi="Times New Roman"/>
          <w:b w:val="0"/>
          <w:i/>
          <w:sz w:val="24"/>
        </w:rPr>
        <w:t>for the award of the degree of</w:t>
      </w:r>
    </w:p>
    <w:p>
      <w:pPr>
        <w:keepNext w:val="0"/>
        <w:pageBreakBefore w:val="0"/>
        <w:spacing w:before="60" w:after="60" w:lineRule="auto" w:line="384"/>
        <w:jc w:val="center"/>
      </w:pPr>
      <w:r>
        <w:rPr>
          <w:rFonts w:ascii="Times New Roman" w:hAnsi="Times New Roman"/>
          <w:b/>
          <w:i w:val="0"/>
          <w:sz w:val="24"/>
        </w:rPr>
        <w:t>Bachelor of Technology</w:t>
      </w:r>
    </w:p>
    <w:p>
      <w:pPr>
        <w:keepNext w:val="0"/>
        <w:pageBreakBefore w:val="0"/>
        <w:spacing w:before="60" w:after="60" w:lineRule="auto" w:line="384"/>
        <w:jc w:val="center"/>
      </w:pPr>
      <w:r>
        <w:rPr>
          <w:rFonts w:ascii="Times New Roman" w:hAnsi="Times New Roman"/>
          <w:b/>
          <w:i w:val="0"/>
          <w:sz w:val="24"/>
        </w:rPr>
        <w:t>in</w:t>
      </w:r>
    </w:p>
    <w:p>
      <w:pPr>
        <w:keepNext w:val="0"/>
        <w:pageBreakBefore w:val="0"/>
        <w:spacing w:before="60" w:after="60" w:lineRule="auto" w:line="384"/>
        <w:jc w:val="center"/>
      </w:pPr>
      <w:r>
        <w:rPr>
          <w:rFonts w:ascii="Times New Roman" w:hAnsi="Times New Roman"/>
          <w:b/>
          <w:i w:val="0"/>
          <w:sz w:val="24"/>
        </w:rPr>
        <w:t>Bioscience and Biotechnology</w:t>
      </w:r>
    </w:p>
    <w:p>
      <w:pPr>
        <w:keepNext w:val="0"/>
        <w:pageBreakBefore w:val="0"/>
        <w:spacing w:before="60" w:after="60" w:lineRule="auto" w:line="384"/>
        <w:jc w:val="center"/>
      </w:pPr>
      <w:r>
        <w:rPr>
          <w:rFonts w:ascii="Times New Roman" w:hAnsi="Times New Roman"/>
          <w:b w:val="0"/>
          <w:i/>
          <w:sz w:val="24"/>
        </w:rPr>
        <w:t>by</w:t>
      </w:r>
    </w:p>
    <w:p>
      <w:pPr>
        <w:keepNext w:val="0"/>
        <w:pageBreakBefore w:val="0"/>
        <w:spacing w:before="60" w:after="60" w:lineRule="auto" w:line="384"/>
        <w:jc w:val="center"/>
      </w:pPr>
      <w:r>
        <w:rPr>
          <w:rFonts w:ascii="Times New Roman" w:hAnsi="Times New Roman"/>
          <w:b/>
          <w:i w:val="0"/>
          <w:sz w:val="24"/>
        </w:rPr>
        <w:t>Upanshu Jain</w:t>
      </w:r>
    </w:p>
    <w:p>
      <w:pPr>
        <w:keepNext w:val="0"/>
        <w:pageBreakBefore w:val="0"/>
        <w:spacing w:before="60" w:after="60" w:lineRule="auto" w:line="384"/>
        <w:jc w:val="center"/>
      </w:pPr>
      <w:r>
        <w:rPr>
          <w:rFonts w:ascii="Times New Roman" w:hAnsi="Times New Roman"/>
          <w:b/>
          <w:i w:val="0"/>
          <w:sz w:val="24"/>
        </w:rPr>
        <w:t>Roll No: 22BT10035</w:t>
      </w:r>
    </w:p>
    <w:p>
      <w:pPr>
        <w:keepNext w:val="0"/>
        <w:pageBreakBefore w:val="0"/>
        <w:spacing w:before="60" w:after="60" w:lineRule="auto" w:line="384"/>
        <w:jc w:val="center"/>
      </w:pPr>
      <w:r>
        <w:rPr>
          <w:rFonts w:ascii="Times New Roman" w:hAnsi="Times New Roman"/>
          <w:b w:val="0"/>
          <w:i/>
          <w:sz w:val="24"/>
        </w:rPr>
        <w:t>Under the guidance of</w:t>
      </w:r>
    </w:p>
    <w:p>
      <w:pPr>
        <w:keepNext w:val="0"/>
        <w:pageBreakBefore w:val="0"/>
        <w:spacing w:before="60" w:after="60" w:lineRule="auto" w:line="384"/>
        <w:jc w:val="center"/>
      </w:pPr>
      <w:r>
        <w:rPr>
          <w:rFonts w:ascii="Times New Roman" w:hAnsi="Times New Roman"/>
          <w:b/>
          <w:i w:val="0"/>
          <w:sz w:val="24"/>
        </w:rPr>
        <w:t>Prof. Amit Ghosh</w:t>
      </w:r>
    </w:p>
    <w:p>
      <w:pPr>
        <w:keepNext w:val="0"/>
        <w:pageBreakBefore w:val="0"/>
        <w:spacing w:before="60" w:after="60" w:lineRule="auto" w:line="384"/>
        <w:jc w:val="center"/>
      </w:pPr>
      <w:r>
        <w:rPr>
          <w:rFonts w:ascii="Times New Roman" w:hAnsi="Times New Roman"/>
          <w:b/>
          <w:i w:val="0"/>
          <w:sz w:val="24"/>
        </w:rPr>
        <w:t>Energy Science and Engineering</w:t>
      </w:r>
    </w:p>
    <w:p>
      <w:pPr>
        <w:keepNext w:val="0"/>
        <w:pageBreakBefore w:val="0"/>
        <w:spacing w:before="60" w:after="60" w:lineRule="auto" w:line="384"/>
        <w:jc w:val="center"/>
      </w:pPr>
      <w:r>
        <w:rPr>
          <w:rFonts w:ascii="Times New Roman" w:hAnsi="Times New Roman"/>
          <w:b/>
          <w:i w:val="0"/>
          <w:sz w:val="24"/>
        </w:rPr>
        <w:t>Indian Institute of Technology Kharagpur</w:t>
      </w:r>
    </w:p>
    <w:p>
      <w:pPr>
        <w:keepNext w:val="0"/>
        <w:pageBreakBefore w:val="0"/>
        <w:spacing w:before="60" w:after="60" w:lineRule="auto" w:line="384"/>
        <w:jc w:val="center"/>
      </w:pPr>
      <w:r>
        <w:rPr>
          <w:rFonts w:ascii="Times New Roman" w:hAnsi="Times New Roman"/>
          <w:b/>
          <w:i w:val="0"/>
          <w:sz w:val="24"/>
        </w:rPr>
        <w:t>Kharagpur 721302</w:t>
      </w:r>
    </w:p>
    <w:p>
      <w:pPr>
        <w:keepNext w:val="0"/>
        <w:pageBreakBefore w:val="0"/>
        <w:spacing w:before="0" w:after="0" w:lineRule="auto" w:line="240"/>
        <w:jc w:val="both"/>
      </w:pPr>
    </w:p>
    <w:p>
      <w:pPr>
        <w:keepNext w:val="0"/>
        <w:pageBreakBefore w:val="0"/>
        <w:spacing w:before="120" w:after="80" w:lineRule="auto" w:line="240"/>
        <w:jc w:val="center"/>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iit_logo.png"/>
                    <pic:cNvPicPr/>
                  </pic:nvPicPr>
                  <pic:blipFill>
                    <a:blip r:embed="rId10"/>
                    <a:stretch>
                      <a:fillRect/>
                    </a:stretch>
                  </pic:blipFill>
                  <pic:spPr>
                    <a:xfrm>
                      <a:off x="0" y="0"/>
                      <a:ext cx="1620000" cy="1620000"/>
                    </a:xfrm>
                    <a:prstGeom prst="rect"/>
                  </pic:spPr>
                </pic:pic>
              </a:graphicData>
            </a:graphic>
          </wp:inline>
        </w:drawing>
      </w:r>
    </w:p>
    <w:p>
      <w:pPr>
        <w:keepNext/>
        <w:pageBreakBefore/>
        <w:spacing w:before="0" w:after="360" w:lineRule="auto" w:line="240"/>
        <w:jc w:val="center"/>
      </w:pPr>
      <w:r>
        <w:rPr>
          <w:rFonts w:ascii="Times New Roman" w:hAnsi="Times New Roman"/>
          <w:b/>
          <w:i w:val="0"/>
          <w:sz w:val="28"/>
        </w:rPr>
        <w:t>CERTIFICATE</w:t>
      </w:r>
    </w:p>
    <w:p>
      <w:pPr>
        <w:keepNext w:val="0"/>
        <w:pageBreakBefore w:val="0"/>
        <w:spacing w:before="0" w:after="160" w:lineRule="auto" w:line="360"/>
        <w:jc w:val="both"/>
      </w:pPr>
      <w:r>
        <w:rPr>
          <w:rFonts w:ascii="Times New Roman" w:hAnsi="Times New Roman"/>
          <w:b w:val="0"/>
          <w:i w:val="0"/>
          <w:sz w:val="24"/>
        </w:rPr>
        <w:t xml:space="preserve">Certified that the dissertation entitled </w:t>
      </w:r>
      <w:r>
        <w:rPr>
          <w:rFonts w:ascii="Times New Roman" w:hAnsi="Times New Roman"/>
          <w:b/>
          <w:i w:val="0"/>
          <w:sz w:val="24"/>
        </w:rPr>
        <w:t>"KGMiner: Enhanced Knowledge Graph Mining with Ontology-Constrained Multi-Pass Extraction and Graph-RAG for Scientific Literature"</w:t>
      </w:r>
      <w:r>
        <w:rPr>
          <w:rFonts w:ascii="Times New Roman" w:hAnsi="Times New Roman"/>
          <w:b w:val="0"/>
          <w:i w:val="0"/>
          <w:sz w:val="24"/>
        </w:rPr>
        <w:t xml:space="preserve"> submitted by </w:t>
      </w:r>
      <w:r>
        <w:rPr>
          <w:rFonts w:ascii="Times New Roman" w:hAnsi="Times New Roman"/>
          <w:b/>
          <w:i w:val="0"/>
          <w:sz w:val="24"/>
        </w:rPr>
        <w:t>Upanshu Jain (Roll No. 22BT10035)</w:t>
      </w:r>
      <w:r>
        <w:rPr>
          <w:rFonts w:ascii="Times New Roman" w:hAnsi="Times New Roman"/>
          <w:b w:val="0"/>
          <w:i w:val="0"/>
          <w:sz w:val="24"/>
        </w:rPr>
        <w:t xml:space="preserve"> in partial fulfilment of the requirements for the award of the Degree of Bachelor of Technology in Bioscience and Biotechnology at the Indian Institute of Technology Kharagpur, is a record of his own work carried out under my supervision and guidance during the Spring Semester 2025-26. The project report embodies results of original work carried out by the student, and the content does not form the basis for the award of any other degree or diploma to the candidate.</w:t>
      </w:r>
    </w:p>
    <w:p>
      <w:pPr>
        <w:keepNext w:val="0"/>
        <w:pageBreakBefore w:val="0"/>
        <w:spacing w:before="0" w:after="0" w:lineRule="auto" w:line="240"/>
        <w:jc w:val="both"/>
      </w:pPr>
    </w:p>
    <w:p>
      <w:pPr>
        <w:keepNext w:val="0"/>
        <w:pageBreakBefore w:val="0"/>
        <w:spacing w:before="0" w:after="0" w:lineRule="auto" w:line="240"/>
        <w:jc w:val="both"/>
      </w:pPr>
    </w:p>
    <w:p>
      <w:pPr>
        <w:keepNext w:val="0"/>
        <w:pageBreakBefore w:val="0"/>
        <w:spacing w:before="0" w:after="0" w:lineRule="auto" w:line="240"/>
        <w:jc w:val="both"/>
      </w:pPr>
    </w:p>
    <w:p>
      <w:pPr>
        <w:keepNext w:val="0"/>
        <w:pageBreakBefore w:val="0"/>
        <w:spacing w:before="40" w:after="40" w:lineRule="auto" w:line="240"/>
        <w:jc w:val="right"/>
      </w:pPr>
      <w:r>
        <w:rPr>
          <w:rFonts w:ascii="Times New Roman" w:hAnsi="Times New Roman"/>
          <w:b w:val="0"/>
          <w:i w:val="0"/>
          <w:sz w:val="22"/>
        </w:rPr>
        <w:t>----------------------------</w:t>
      </w:r>
    </w:p>
    <w:p>
      <w:pPr>
        <w:keepNext w:val="0"/>
        <w:pageBreakBefore w:val="0"/>
        <w:spacing w:before="40" w:after="40" w:lineRule="auto" w:line="240"/>
        <w:jc w:val="right"/>
      </w:pPr>
      <w:r>
        <w:rPr>
          <w:rFonts w:ascii="Times New Roman" w:hAnsi="Times New Roman"/>
          <w:b w:val="0"/>
          <w:i w:val="0"/>
          <w:sz w:val="22"/>
        </w:rPr>
        <w:t>Supervisor</w:t>
      </w:r>
    </w:p>
    <w:p>
      <w:pPr>
        <w:keepNext w:val="0"/>
        <w:pageBreakBefore w:val="0"/>
        <w:spacing w:before="40" w:after="40" w:lineRule="auto" w:line="240"/>
        <w:jc w:val="right"/>
      </w:pPr>
      <w:r>
        <w:rPr>
          <w:rFonts w:ascii="Times New Roman" w:hAnsi="Times New Roman"/>
          <w:b/>
          <w:i w:val="0"/>
          <w:sz w:val="22"/>
        </w:rPr>
        <w:t>Prof. Amit Ghosh</w:t>
      </w:r>
    </w:p>
    <w:p>
      <w:pPr>
        <w:keepNext w:val="0"/>
        <w:pageBreakBefore w:val="0"/>
        <w:spacing w:before="40" w:after="40" w:lineRule="auto" w:line="240"/>
        <w:jc w:val="right"/>
      </w:pPr>
      <w:r>
        <w:rPr>
          <w:rFonts w:ascii="Times New Roman" w:hAnsi="Times New Roman"/>
          <w:b w:val="0"/>
          <w:i w:val="0"/>
          <w:sz w:val="22"/>
        </w:rPr>
        <w:t>Energy Science and Engineering</w:t>
      </w:r>
    </w:p>
    <w:p>
      <w:pPr>
        <w:keepNext w:val="0"/>
        <w:pageBreakBefore w:val="0"/>
        <w:spacing w:before="40" w:after="40" w:lineRule="auto" w:line="240"/>
        <w:jc w:val="right"/>
      </w:pPr>
      <w:r>
        <w:rPr>
          <w:rFonts w:ascii="Times New Roman" w:hAnsi="Times New Roman"/>
          <w:b w:val="0"/>
          <w:i w:val="0"/>
          <w:sz w:val="22"/>
        </w:rPr>
        <w:t>IIT Kharagpur</w:t>
      </w:r>
    </w:p>
    <w:p>
      <w:pPr>
        <w:keepNext/>
        <w:pageBreakBefore/>
        <w:spacing w:before="0" w:after="360" w:lineRule="auto" w:line="240"/>
        <w:jc w:val="center"/>
      </w:pPr>
      <w:r>
        <w:rPr>
          <w:rFonts w:ascii="Times New Roman" w:hAnsi="Times New Roman"/>
          <w:b/>
          <w:i w:val="0"/>
          <w:sz w:val="28"/>
        </w:rPr>
        <w:t>ACKNOWLEDGEMENT</w:t>
      </w:r>
    </w:p>
    <w:p>
      <w:pPr>
        <w:keepNext w:val="0"/>
        <w:pageBreakBefore w:val="0"/>
        <w:spacing w:before="0" w:after="160" w:lineRule="auto" w:line="360"/>
        <w:jc w:val="both"/>
      </w:pPr>
      <w:r>
        <w:rPr>
          <w:rFonts w:ascii="Times New Roman" w:hAnsi="Times New Roman"/>
          <w:b w:val="0"/>
          <w:i w:val="0"/>
          <w:sz w:val="24"/>
        </w:rPr>
        <w:t xml:space="preserve">It gives me great pleasure to present the project report on </w:t>
      </w:r>
      <w:r>
        <w:rPr>
          <w:rFonts w:ascii="Times New Roman" w:hAnsi="Times New Roman"/>
          <w:b/>
          <w:i w:val="0"/>
          <w:sz w:val="24"/>
        </w:rPr>
        <w:t>"KGMiner: Enhanced Knowledge Graph Mining with Ontology-Constrained Multi-Pass Extraction and Graph-RAG for Scientific Literature"</w:t>
      </w:r>
      <w:r>
        <w:rPr>
          <w:rFonts w:ascii="Times New Roman" w:hAnsi="Times New Roman"/>
          <w:b w:val="0"/>
          <w:i w:val="0"/>
          <w:sz w:val="24"/>
        </w:rPr>
        <w:t xml:space="preserve">. I am extremely thankful to </w:t>
      </w:r>
      <w:r>
        <w:rPr>
          <w:rFonts w:ascii="Times New Roman" w:hAnsi="Times New Roman"/>
          <w:b/>
          <w:i w:val="0"/>
          <w:sz w:val="24"/>
        </w:rPr>
        <w:t>Prof. Amit Ghosh</w:t>
      </w:r>
      <w:r>
        <w:rPr>
          <w:rFonts w:ascii="Times New Roman" w:hAnsi="Times New Roman"/>
          <w:b w:val="0"/>
          <w:i w:val="0"/>
          <w:sz w:val="24"/>
        </w:rPr>
        <w:t xml:space="preserve"> for his constant guidance throughout the experimentation process. His expertise, intellectual rigor, and unwavering support were truly instrumental in shaping the methodology and interpretation of this research. Thank you for consistently encouraging me to push the boundaries of this study.</w:t>
      </w:r>
    </w:p>
    <w:p>
      <w:pPr>
        <w:keepNext w:val="0"/>
        <w:pageBreakBefore w:val="0"/>
        <w:spacing w:before="0" w:after="160" w:lineRule="auto" w:line="360"/>
        <w:jc w:val="both"/>
      </w:pPr>
      <w:r>
        <w:rPr>
          <w:rFonts w:ascii="Times New Roman" w:hAnsi="Times New Roman"/>
          <w:b w:val="0"/>
          <w:i w:val="0"/>
          <w:sz w:val="24"/>
        </w:rPr>
        <w:t xml:space="preserve">The successful completion of this study was made possible by the invaluable guidance of my mentor, </w:t>
      </w:r>
      <w:r>
        <w:rPr>
          <w:rFonts w:ascii="Times New Roman" w:hAnsi="Times New Roman"/>
          <w:b/>
          <w:i w:val="0"/>
          <w:sz w:val="24"/>
        </w:rPr>
        <w:t>Mr. Sayan Saha Roy</w:t>
      </w:r>
      <w:r>
        <w:rPr>
          <w:rFonts w:ascii="Times New Roman" w:hAnsi="Times New Roman"/>
          <w:b w:val="0"/>
          <w:i w:val="0"/>
          <w:sz w:val="24"/>
        </w:rPr>
        <w:t>, PhD Scholar, Energy Science and Engineering, Indian Institute of Technology Kharagpur, for his continuous support and helpful feedback during the course of this project.</w:t>
      </w:r>
    </w:p>
    <w:p>
      <w:pPr>
        <w:keepNext w:val="0"/>
        <w:pageBreakBefore w:val="0"/>
        <w:spacing w:before="0" w:after="160" w:lineRule="auto" w:line="360"/>
        <w:jc w:val="both"/>
      </w:pPr>
      <w:r>
        <w:rPr>
          <w:rFonts w:ascii="Times New Roman" w:hAnsi="Times New Roman"/>
          <w:b w:val="0"/>
          <w:i w:val="0"/>
          <w:sz w:val="24"/>
        </w:rPr>
        <w:t>This work builds upon the foundation established during BTP1, where the NEKO workflow was implemented and evaluated. The limitations identified in that initial study directly motivated the architectural improvements presented in this report.</w:t>
      </w:r>
    </w:p>
    <w:p>
      <w:pPr>
        <w:keepNext w:val="0"/>
        <w:pageBreakBefore w:val="0"/>
        <w:spacing w:before="40" w:after="40" w:lineRule="auto" w:line="240"/>
        <w:jc w:val="right"/>
      </w:pPr>
      <w:r>
        <w:rPr>
          <w:rFonts w:ascii="Times New Roman" w:hAnsi="Times New Roman"/>
          <w:b w:val="0"/>
          <w:i w:val="0"/>
          <w:sz w:val="22"/>
        </w:rPr>
        <w:t>----------------------------</w:t>
      </w:r>
    </w:p>
    <w:p>
      <w:pPr>
        <w:keepNext w:val="0"/>
        <w:pageBreakBefore w:val="0"/>
        <w:spacing w:before="40" w:after="40" w:lineRule="auto" w:line="240"/>
        <w:jc w:val="right"/>
      </w:pPr>
      <w:r>
        <w:rPr>
          <w:rFonts w:ascii="Times New Roman" w:hAnsi="Times New Roman"/>
          <w:b/>
          <w:i w:val="0"/>
          <w:sz w:val="22"/>
        </w:rPr>
        <w:t>Upanshu Jain</w:t>
      </w:r>
    </w:p>
    <w:p>
      <w:pPr>
        <w:keepNext/>
        <w:pageBreakBefore/>
        <w:spacing w:before="0" w:after="360" w:lineRule="auto" w:line="240"/>
        <w:jc w:val="left"/>
      </w:pPr>
      <w:r>
        <w:rPr>
          <w:rFonts w:ascii="Times New Roman" w:hAnsi="Times New Roman"/>
          <w:b/>
          <w:i w:val="0"/>
          <w:sz w:val="28"/>
        </w:rPr>
        <w:t>CONTENTS</w:t>
      </w:r>
    </w:p>
    <w:p>
      <w:pPr>
        <w:keepNext w:val="0"/>
        <w:pageBreakBefore w:val="0"/>
        <w:spacing w:before="0" w:after="160" w:lineRule="auto" w:line="360"/>
        <w:jc w:val="both"/>
      </w:pPr>
      <w:r>
        <w:rPr>
          <w:rFonts w:ascii="Times New Roman" w:hAnsi="Times New Roman"/>
          <w:b w:val="0"/>
          <w:i w:val="0"/>
          <w:sz w:val="24"/>
        </w:rPr>
        <w:t>Abstract ............................................................................................4</w:t>
      </w:r>
    </w:p>
    <w:p>
      <w:pPr>
        <w:keepNext w:val="0"/>
        <w:pageBreakBefore w:val="0"/>
        <w:spacing w:before="0" w:after="160" w:lineRule="auto" w:line="360"/>
        <w:jc w:val="both"/>
      </w:pPr>
      <w:r>
        <w:rPr>
          <w:rFonts w:ascii="Times New Roman" w:hAnsi="Times New Roman"/>
          <w:b w:val="0"/>
          <w:i w:val="0"/>
          <w:sz w:val="24"/>
        </w:rPr>
        <w:t>Chapter 1: Introduction ......................................................................5</w:t>
      </w:r>
    </w:p>
    <w:p>
      <w:pPr>
        <w:keepNext w:val="0"/>
        <w:pageBreakBefore w:val="0"/>
        <w:spacing w:before="0" w:after="160" w:lineRule="auto" w:line="360"/>
        <w:jc w:val="both"/>
      </w:pPr>
      <w:r>
        <w:rPr>
          <w:rFonts w:ascii="Times New Roman" w:hAnsi="Times New Roman"/>
          <w:b w:val="0"/>
          <w:i w:val="0"/>
          <w:sz w:val="24"/>
        </w:rPr>
        <w:t>Chapter 2: Literature Review ..............................................................7</w:t>
      </w:r>
    </w:p>
    <w:p>
      <w:pPr>
        <w:keepNext w:val="0"/>
        <w:pageBreakBefore w:val="0"/>
        <w:spacing w:before="0" w:after="160" w:lineRule="auto" w:line="360"/>
        <w:jc w:val="both"/>
      </w:pPr>
      <w:r>
        <w:rPr>
          <w:rFonts w:ascii="Times New Roman" w:hAnsi="Times New Roman"/>
          <w:b w:val="0"/>
          <w:i w:val="0"/>
          <w:sz w:val="24"/>
        </w:rPr>
        <w:t>&amp;nbsp;&amp;nbsp;&amp;nbsp;&amp;nbsp;2.1 NEKO and BTP1 Foundation ....................................................7</w:t>
      </w:r>
    </w:p>
    <w:p>
      <w:pPr>
        <w:keepNext w:val="0"/>
        <w:pageBreakBefore w:val="0"/>
        <w:spacing w:before="0" w:after="160" w:lineRule="auto" w:line="360"/>
        <w:jc w:val="both"/>
      </w:pPr>
      <w:r>
        <w:rPr>
          <w:rFonts w:ascii="Times New Roman" w:hAnsi="Times New Roman"/>
          <w:b w:val="0"/>
          <w:i w:val="0"/>
          <w:sz w:val="24"/>
        </w:rPr>
        <w:t>&amp;nbsp;&amp;nbsp;&amp;nbsp;&amp;nbsp;2.2 Biomedical Knowledge Graph Construction ...........................8</w:t>
      </w:r>
    </w:p>
    <w:p>
      <w:pPr>
        <w:keepNext w:val="0"/>
        <w:pageBreakBefore w:val="0"/>
        <w:spacing w:before="0" w:after="160" w:lineRule="auto" w:line="360"/>
        <w:jc w:val="both"/>
      </w:pPr>
      <w:r>
        <w:rPr>
          <w:rFonts w:ascii="Times New Roman" w:hAnsi="Times New Roman"/>
          <w:b w:val="0"/>
          <w:i w:val="0"/>
          <w:sz w:val="24"/>
        </w:rPr>
        <w:t>&amp;nbsp;&amp;nbsp;&amp;nbsp;&amp;nbsp;2.3 Graph-Based Retrieval-Augmented Generation .....................9</w:t>
      </w:r>
    </w:p>
    <w:p>
      <w:pPr>
        <w:keepNext w:val="0"/>
        <w:pageBreakBefore w:val="0"/>
        <w:spacing w:before="0" w:after="160" w:lineRule="auto" w:line="360"/>
        <w:jc w:val="both"/>
      </w:pPr>
      <w:r>
        <w:rPr>
          <w:rFonts w:ascii="Times New Roman" w:hAnsi="Times New Roman"/>
          <w:b w:val="0"/>
          <w:i w:val="0"/>
          <w:sz w:val="24"/>
        </w:rPr>
        <w:t>&amp;nbsp;&amp;nbsp;&amp;nbsp;&amp;nbsp;2.4 Research Gaps and Limitations of BTP1 ..............................10</w:t>
      </w:r>
    </w:p>
    <w:p>
      <w:pPr>
        <w:keepNext w:val="0"/>
        <w:pageBreakBefore w:val="0"/>
        <w:spacing w:before="0" w:after="160" w:lineRule="auto" w:line="360"/>
        <w:jc w:val="both"/>
      </w:pPr>
      <w:r>
        <w:rPr>
          <w:rFonts w:ascii="Times New Roman" w:hAnsi="Times New Roman"/>
          <w:b w:val="0"/>
          <w:i w:val="0"/>
          <w:sz w:val="24"/>
        </w:rPr>
        <w:t>Chapter 3: Rationale of the Study ....................................................11</w:t>
      </w:r>
    </w:p>
    <w:p>
      <w:pPr>
        <w:keepNext w:val="0"/>
        <w:pageBreakBefore w:val="0"/>
        <w:spacing w:before="0" w:after="160" w:lineRule="auto" w:line="360"/>
        <w:jc w:val="both"/>
      </w:pPr>
      <w:r>
        <w:rPr>
          <w:rFonts w:ascii="Times New Roman" w:hAnsi="Times New Roman"/>
          <w:b w:val="0"/>
          <w:i w:val="0"/>
          <w:sz w:val="24"/>
        </w:rPr>
        <w:t>Chapter 4: Objectives .......................................................................13</w:t>
      </w:r>
    </w:p>
    <w:p>
      <w:pPr>
        <w:keepNext w:val="0"/>
        <w:pageBreakBefore w:val="0"/>
        <w:spacing w:before="0" w:after="160" w:lineRule="auto" w:line="360"/>
        <w:jc w:val="both"/>
      </w:pPr>
      <w:r>
        <w:rPr>
          <w:rFonts w:ascii="Times New Roman" w:hAnsi="Times New Roman"/>
          <w:b w:val="0"/>
          <w:i w:val="0"/>
          <w:sz w:val="24"/>
        </w:rPr>
        <w:t>Chapter 5: Methodology ...................................................................14</w:t>
      </w:r>
    </w:p>
    <w:p>
      <w:pPr>
        <w:keepNext w:val="0"/>
        <w:pageBreakBefore w:val="0"/>
        <w:spacing w:before="0" w:after="160" w:lineRule="auto" w:line="360"/>
        <w:jc w:val="both"/>
      </w:pPr>
      <w:r>
        <w:rPr>
          <w:rFonts w:ascii="Times New Roman" w:hAnsi="Times New Roman"/>
          <w:b w:val="0"/>
          <w:i w:val="0"/>
          <w:sz w:val="24"/>
        </w:rPr>
        <w:t>&amp;nbsp;&amp;nbsp;&amp;nbsp;&amp;nbsp;5.1 System Architecture and Overview .......................................14</w:t>
      </w:r>
    </w:p>
    <w:p>
      <w:pPr>
        <w:keepNext w:val="0"/>
        <w:pageBreakBefore w:val="0"/>
        <w:spacing w:before="0" w:after="160" w:lineRule="auto" w:line="360"/>
        <w:jc w:val="both"/>
      </w:pPr>
      <w:r>
        <w:rPr>
          <w:rFonts w:ascii="Times New Roman" w:hAnsi="Times New Roman"/>
          <w:b w:val="0"/>
          <w:i w:val="0"/>
          <w:sz w:val="24"/>
        </w:rPr>
        <w:t>&amp;nbsp;&amp;nbsp;&amp;nbsp;&amp;nbsp;5.2 Automated Query Generation ...............................................15</w:t>
      </w:r>
    </w:p>
    <w:p>
      <w:pPr>
        <w:keepNext w:val="0"/>
        <w:pageBreakBefore w:val="0"/>
        <w:spacing w:before="0" w:after="160" w:lineRule="auto" w:line="360"/>
        <w:jc w:val="both"/>
      </w:pPr>
      <w:r>
        <w:rPr>
          <w:rFonts w:ascii="Times New Roman" w:hAnsi="Times New Roman"/>
          <w:b w:val="0"/>
          <w:i w:val="0"/>
          <w:sz w:val="24"/>
        </w:rPr>
        <w:t>&amp;nbsp;&amp;nbsp;&amp;nbsp;&amp;nbsp;5.3 Literature Retrieval with Relevance Filtering ........................16</w:t>
      </w:r>
    </w:p>
    <w:p>
      <w:pPr>
        <w:keepNext w:val="0"/>
        <w:pageBreakBefore w:val="0"/>
        <w:spacing w:before="0" w:after="160" w:lineRule="auto" w:line="360"/>
        <w:jc w:val="both"/>
      </w:pPr>
      <w:r>
        <w:rPr>
          <w:rFonts w:ascii="Times New Roman" w:hAnsi="Times New Roman"/>
          <w:b w:val="0"/>
          <w:i w:val="0"/>
          <w:sz w:val="24"/>
        </w:rPr>
        <w:t>&amp;nbsp;&amp;nbsp;&amp;nbsp;&amp;nbsp;5.4 Ontology-Constrained Triple Extraction ..............................17</w:t>
      </w:r>
    </w:p>
    <w:p>
      <w:pPr>
        <w:keepNext w:val="0"/>
        <w:pageBreakBefore w:val="0"/>
        <w:spacing w:before="0" w:after="160" w:lineRule="auto" w:line="360"/>
        <w:jc w:val="both"/>
      </w:pPr>
      <w:r>
        <w:rPr>
          <w:rFonts w:ascii="Times New Roman" w:hAnsi="Times New Roman"/>
          <w:b w:val="0"/>
          <w:i w:val="0"/>
          <w:sz w:val="24"/>
        </w:rPr>
        <w:t>&amp;nbsp;&amp;nbsp;&amp;nbsp;&amp;nbsp;5.5 Multi-Pass Extraction with Progressive Refinement ............19</w:t>
      </w:r>
    </w:p>
    <w:p>
      <w:pPr>
        <w:keepNext w:val="0"/>
        <w:pageBreakBefore w:val="0"/>
        <w:spacing w:before="0" w:after="160" w:lineRule="auto" w:line="360"/>
        <w:jc w:val="both"/>
      </w:pPr>
      <w:r>
        <w:rPr>
          <w:rFonts w:ascii="Times New Roman" w:hAnsi="Times New Roman"/>
          <w:b w:val="0"/>
          <w:i w:val="0"/>
          <w:sz w:val="24"/>
        </w:rPr>
        <w:t>&amp;nbsp;&amp;nbsp;&amp;nbsp;&amp;nbsp;5.6 Post-Extraction Normalization ..............................................21</w:t>
      </w:r>
    </w:p>
    <w:p>
      <w:pPr>
        <w:keepNext w:val="0"/>
        <w:pageBreakBefore w:val="0"/>
        <w:spacing w:before="0" w:after="160" w:lineRule="auto" w:line="360"/>
        <w:jc w:val="both"/>
      </w:pPr>
      <w:r>
        <w:rPr>
          <w:rFonts w:ascii="Times New Roman" w:hAnsi="Times New Roman"/>
          <w:b w:val="0"/>
          <w:i w:val="0"/>
          <w:sz w:val="24"/>
        </w:rPr>
        <w:t>&amp;nbsp;&amp;nbsp;&amp;nbsp;&amp;nbsp;5.7 Knowledge Graph Construction ...........................................22</w:t>
      </w:r>
    </w:p>
    <w:p>
      <w:pPr>
        <w:keepNext w:val="0"/>
        <w:pageBreakBefore w:val="0"/>
        <w:spacing w:before="0" w:after="160" w:lineRule="auto" w:line="360"/>
        <w:jc w:val="both"/>
      </w:pPr>
      <w:r>
        <w:rPr>
          <w:rFonts w:ascii="Times New Roman" w:hAnsi="Times New Roman"/>
          <w:b w:val="0"/>
          <w:i w:val="0"/>
          <w:sz w:val="24"/>
        </w:rPr>
        <w:t>&amp;nbsp;&amp;nbsp;&amp;nbsp;&amp;nbsp;5.8 Graph-RAG Querying with Anti-Hallucination .....................23</w:t>
      </w:r>
    </w:p>
    <w:p>
      <w:pPr>
        <w:keepNext w:val="0"/>
        <w:pageBreakBefore w:val="0"/>
        <w:spacing w:before="0" w:after="160" w:lineRule="auto" w:line="360"/>
        <w:jc w:val="both"/>
      </w:pPr>
      <w:r>
        <w:rPr>
          <w:rFonts w:ascii="Times New Roman" w:hAnsi="Times New Roman"/>
          <w:b w:val="0"/>
          <w:i w:val="0"/>
          <w:sz w:val="24"/>
        </w:rPr>
        <w:t>Chapter 6: Results and Discussion ...................................................25</w:t>
      </w:r>
    </w:p>
    <w:p>
      <w:pPr>
        <w:keepNext w:val="0"/>
        <w:pageBreakBefore w:val="0"/>
        <w:spacing w:before="0" w:after="160" w:lineRule="auto" w:line="360"/>
        <w:jc w:val="both"/>
      </w:pPr>
      <w:r>
        <w:rPr>
          <w:rFonts w:ascii="Times New Roman" w:hAnsi="Times New Roman"/>
          <w:b w:val="0"/>
          <w:i w:val="0"/>
          <w:sz w:val="24"/>
        </w:rPr>
        <w:t>&amp;nbsp;&amp;nbsp;&amp;nbsp;&amp;nbsp;6.1 Quantitative Analysis of Extraction .....................................25</w:t>
      </w:r>
    </w:p>
    <w:p>
      <w:pPr>
        <w:keepNext w:val="0"/>
        <w:pageBreakBefore w:val="0"/>
        <w:spacing w:before="0" w:after="160" w:lineRule="auto" w:line="360"/>
        <w:jc w:val="both"/>
      </w:pPr>
      <w:r>
        <w:rPr>
          <w:rFonts w:ascii="Times New Roman" w:hAnsi="Times New Roman"/>
          <w:b w:val="0"/>
          <w:i w:val="0"/>
          <w:sz w:val="24"/>
        </w:rPr>
        <w:t>&amp;nbsp;&amp;nbsp;&amp;nbsp;&amp;nbsp;6.2 Knowledge Graph Structure and Relation Analysis .............27</w:t>
      </w:r>
    </w:p>
    <w:p>
      <w:pPr>
        <w:keepNext w:val="0"/>
        <w:pageBreakBefore w:val="0"/>
        <w:spacing w:before="0" w:after="160" w:lineRule="auto" w:line="360"/>
        <w:jc w:val="both"/>
      </w:pPr>
      <w:r>
        <w:rPr>
          <w:rFonts w:ascii="Times New Roman" w:hAnsi="Times New Roman"/>
          <w:b w:val="0"/>
          <w:i w:val="0"/>
          <w:sz w:val="24"/>
        </w:rPr>
        <w:t>&amp;nbsp;&amp;nbsp;&amp;nbsp;&amp;nbsp;6.3 Stability Score Analysis .......................................................28</w:t>
      </w:r>
    </w:p>
    <w:p>
      <w:pPr>
        <w:keepNext w:val="0"/>
        <w:pageBreakBefore w:val="0"/>
        <w:spacing w:before="0" w:after="160" w:lineRule="auto" w:line="360"/>
        <w:jc w:val="both"/>
      </w:pPr>
      <w:r>
        <w:rPr>
          <w:rFonts w:ascii="Times New Roman" w:hAnsi="Times New Roman"/>
          <w:b w:val="0"/>
          <w:i w:val="0"/>
          <w:sz w:val="24"/>
        </w:rPr>
        <w:t>&amp;nbsp;&amp;nbsp;&amp;nbsp;&amp;nbsp;6.4 Multi-Pass Ablation Study ...................................................29</w:t>
      </w:r>
    </w:p>
    <w:p>
      <w:pPr>
        <w:keepNext w:val="0"/>
        <w:pageBreakBefore w:val="0"/>
        <w:spacing w:before="0" w:after="160" w:lineRule="auto" w:line="360"/>
        <w:jc w:val="both"/>
      </w:pPr>
      <w:r>
        <w:rPr>
          <w:rFonts w:ascii="Times New Roman" w:hAnsi="Times New Roman"/>
          <w:b w:val="0"/>
          <w:i w:val="0"/>
          <w:sz w:val="24"/>
        </w:rPr>
        <w:t>&amp;nbsp;&amp;nbsp;&amp;nbsp;&amp;nbsp;6.5 System Output and Query Answering Examples ..................30</w:t>
      </w:r>
    </w:p>
    <w:p>
      <w:pPr>
        <w:keepNext w:val="0"/>
        <w:pageBreakBefore w:val="0"/>
        <w:spacing w:before="0" w:after="160" w:lineRule="auto" w:line="360"/>
        <w:jc w:val="both"/>
      </w:pPr>
      <w:r>
        <w:rPr>
          <w:rFonts w:ascii="Times New Roman" w:hAnsi="Times New Roman"/>
          <w:b w:val="0"/>
          <w:i w:val="0"/>
          <w:sz w:val="24"/>
        </w:rPr>
        <w:t>&amp;nbsp;&amp;nbsp;&amp;nbsp;&amp;nbsp;6.6 Comparison: BTP1 vs BTP2 ................................................33</w:t>
      </w:r>
    </w:p>
    <w:p>
      <w:pPr>
        <w:keepNext w:val="0"/>
        <w:pageBreakBefore w:val="0"/>
        <w:spacing w:before="0" w:after="160" w:lineRule="auto" w:line="360"/>
        <w:jc w:val="both"/>
      </w:pPr>
      <w:r>
        <w:rPr>
          <w:rFonts w:ascii="Times New Roman" w:hAnsi="Times New Roman"/>
          <w:b w:val="0"/>
          <w:i w:val="0"/>
          <w:sz w:val="24"/>
        </w:rPr>
        <w:t>Chapter 7: Conclusion ......................................................................35</w:t>
      </w:r>
    </w:p>
    <w:p>
      <w:pPr>
        <w:keepNext w:val="0"/>
        <w:pageBreakBefore w:val="0"/>
        <w:spacing w:before="0" w:after="160" w:lineRule="auto" w:line="360"/>
        <w:jc w:val="both"/>
      </w:pPr>
      <w:r>
        <w:rPr>
          <w:rFonts w:ascii="Times New Roman" w:hAnsi="Times New Roman"/>
          <w:b w:val="0"/>
          <w:i w:val="0"/>
          <w:sz w:val="24"/>
        </w:rPr>
        <w:t>Chapter 8: Future Work ....................................................................36</w:t>
      </w:r>
    </w:p>
    <w:p>
      <w:pPr>
        <w:keepNext w:val="0"/>
        <w:pageBreakBefore w:val="0"/>
        <w:spacing w:before="0" w:after="160" w:lineRule="auto" w:line="360"/>
        <w:jc w:val="both"/>
      </w:pPr>
      <w:r>
        <w:rPr>
          <w:rFonts w:ascii="Times New Roman" w:hAnsi="Times New Roman"/>
          <w:b w:val="0"/>
          <w:i w:val="0"/>
          <w:sz w:val="24"/>
        </w:rPr>
        <w:t>Chapter 9: References .......................................................................37</w:t>
      </w:r>
    </w:p>
    <w:p>
      <w:pPr>
        <w:keepNext/>
        <w:pageBreakBefore/>
        <w:spacing w:before="0" w:after="360" w:lineRule="auto" w:line="240"/>
        <w:jc w:val="left"/>
      </w:pPr>
      <w:r>
        <w:rPr>
          <w:rFonts w:ascii="Times New Roman" w:hAnsi="Times New Roman"/>
          <w:b/>
          <w:i w:val="0"/>
          <w:sz w:val="28"/>
        </w:rPr>
        <w:t>ABSTRACT</w:t>
      </w:r>
    </w:p>
    <w:p>
      <w:pPr>
        <w:keepNext w:val="0"/>
        <w:pageBreakBefore w:val="0"/>
        <w:spacing w:before="0" w:after="160" w:lineRule="auto" w:line="360"/>
        <w:jc w:val="both"/>
      </w:pPr>
      <w:r>
        <w:rPr>
          <w:rFonts w:ascii="Times New Roman" w:hAnsi="Times New Roman"/>
          <w:b w:val="0"/>
          <w:i w:val="0"/>
          <w:sz w:val="24"/>
        </w:rPr>
        <w:t>The exponential growth of biomedical literature makes manual knowledge synthesis increasingly intractable for researchers. Prior work implementing the Network for Knowledge Organization (NEKO) workflow (Xiao et al., 2025) demonstrated that LLM-driven knowledge graph construction from PubMed abstracts is feasible and valuable for biological research, successfully processing 1,088 Rhodococcus abstracts and producing a knowledge graph with over 180 unique nodes. However, that implementation also revealed critical limitations: extracted relationships lacked type labels, single-pass LLM extraction missed a significant fraction of relationships in complex abstracts, graph queries required exact entity name matching, and answer generation risked incorporating hallucinated content unsupported by the extracted evidence.</w:t>
      </w:r>
    </w:p>
    <w:p>
      <w:pPr>
        <w:keepNext w:val="0"/>
        <w:pageBreakBefore w:val="0"/>
        <w:spacing w:before="0" w:after="160" w:lineRule="auto" w:line="360"/>
        <w:jc w:val="both"/>
      </w:pPr>
      <w:r>
        <w:rPr>
          <w:rFonts w:ascii="Times New Roman" w:hAnsi="Times New Roman"/>
          <w:b w:val="0"/>
          <w:i w:val="0"/>
          <w:sz w:val="24"/>
        </w:rPr>
        <w:t>This report presents KGMiner, a substantially redesigned system that directly addresses each of these limitations. KGMiner introduces three core innovations: (1) ontology-constrained triple extraction, where LLM outputs are constrained to typed (Subject, Relation, Object) triples using a 13-relation biological vocabulary; (2) multi-pass extraction with progressive refinement, applying three sequential extraction passes plus an independent validation pass per abstract; and (3) Graph-RAG querying with anti-hallucination answer generation, combining embedding-based semantic search with evidence-grounding protocols that prevent ungrounded responses.</w:t>
      </w:r>
    </w:p>
    <w:p>
      <w:pPr>
        <w:keepNext w:val="0"/>
        <w:pageBreakBefore w:val="0"/>
        <w:spacing w:before="0" w:after="160" w:lineRule="auto" w:line="360"/>
        <w:jc w:val="both"/>
      </w:pPr>
      <w:r>
        <w:rPr>
          <w:rFonts w:ascii="Times New Roman" w:hAnsi="Times New Roman"/>
          <w:b w:val="0"/>
          <w:i w:val="0"/>
          <w:sz w:val="24"/>
        </w:rPr>
        <w:t>Evaluated on a beta-carotene biosynthesis case study (226 PubMed articles), KGMiner extracted 4,722 typed triples across 2,996 normalized entities. The multi-pass approach increased triple yield by 170.6% over single-pass extraction (855 vs. 316 triples on a 15-article ablation). The Graph-RAG engine produced detailed, citation-backed answers with specific quantitative metrics (e.g., 11.3-fold increase, 107.22 mg/L, 142 mg/L) traceable to source PubMed IDs. The system is deployed as a FastAPI web application using free-tier cloud LLM providers (Groq and Cerebras), making it accessible without dedicated GPU resources.</w:t>
      </w:r>
    </w:p>
    <w:p>
      <w:pPr>
        <w:keepNext/>
        <w:pageBreakBefore/>
        <w:spacing w:before="0" w:after="360" w:lineRule="auto" w:line="240"/>
        <w:jc w:val="left"/>
      </w:pPr>
      <w:r>
        <w:rPr>
          <w:rFonts w:ascii="Times New Roman" w:hAnsi="Times New Roman"/>
          <w:b/>
          <w:i w:val="0"/>
          <w:sz w:val="28"/>
        </w:rPr>
        <w:t>CHAPTER 1: INTRODUCTION</w:t>
      </w:r>
    </w:p>
    <w:p>
      <w:pPr>
        <w:keepNext w:val="0"/>
        <w:pageBreakBefore w:val="0"/>
        <w:spacing w:before="0" w:after="160" w:lineRule="auto" w:line="360"/>
        <w:jc w:val="both"/>
      </w:pPr>
      <w:r>
        <w:rPr>
          <w:rFonts w:ascii="Times New Roman" w:hAnsi="Times New Roman"/>
          <w:b w:val="0"/>
          <w:i w:val="0"/>
          <w:sz w:val="24"/>
        </w:rPr>
        <w:t>The biomedical research community faces a fundamental information problem. PubMed currently indexes over 36 million citations and adds thousands of new publications daily. For researchers working on metabolic engineering challenges such as optimizing enzyme expression, identifying compatible host organisms, and selecting culture conditions for target biosynthesis, the relevant knowledge is scattered across hundreds of papers spanning decades of research. Reading, annotating, and synthesizing this literature manually can take weeks, delaying hypothesis formulation and experimental planning considerably.</w:t>
      </w:r>
    </w:p>
    <w:p>
      <w:pPr>
        <w:keepNext w:val="0"/>
        <w:pageBreakBefore w:val="0"/>
        <w:spacing w:before="0" w:after="160" w:lineRule="auto" w:line="360"/>
        <w:jc w:val="both"/>
      </w:pPr>
      <w:r>
        <w:rPr>
          <w:rFonts w:ascii="Times New Roman" w:hAnsi="Times New Roman"/>
          <w:b w:val="0"/>
          <w:i w:val="0"/>
          <w:sz w:val="24"/>
        </w:rPr>
        <w:t>Prior implementation of the NEKO (Network for Knowledge Organization) workflow (Xiao et al., 2025) demonstrated that automated AI pipelines can partially address this problem by constructing knowledge graphs from PubMed abstracts. That implementation produced three important results: large language models (LLMs) can reliably extract entity-relationship pairs from biological abstracts without domain-specific training data; the resulting knowledge graph organizes dispersed literature into a navigable structure that reveals thematic clusters not apparent from individual paper reading; and the pipeline provides demonstrably higher data provenance and traceability compared to zero-shot LLM queries.</w:t>
      </w:r>
    </w:p>
    <w:p>
      <w:pPr>
        <w:keepNext w:val="0"/>
        <w:pageBreakBefore w:val="0"/>
        <w:spacing w:before="0" w:after="160" w:lineRule="auto" w:line="360"/>
        <w:jc w:val="both"/>
      </w:pPr>
      <w:r>
        <w:rPr>
          <w:rFonts w:ascii="Times New Roman" w:hAnsi="Times New Roman"/>
          <w:b w:val="0"/>
          <w:i w:val="0"/>
          <w:sz w:val="24"/>
        </w:rPr>
        <w:t>However, that evaluation also revealed four structural limitations that constrained the utility of the system for actual research workflows. The NEKO pipeline extracted entity associations without specifying relationship types, so the knowledge graph could indicate that "gene X relates to pathway Y" without distinguishing whether X activates, inhibits, encodes, or is a substrate of Y — a distinction that is critical for mechanistic reasoning and experimental hypothesis generation. A second limitation was that each abstract was processed in a single LLM pass, which tends to identify the most prominent relationships while overlooking secondary details described later in the abstract or in subordinate clauses; scientific abstracts routinely contain multiple biological interactions at varying levels of emphasis. The system also required users to supply exact entity names for graph traversal, limiting accessibility to those already familiar with the graph's contents and preventing natural language queries of the form "which enzymes upregulate carotenoid biosynthesis." Finally, answer generation carried a risk of hallucination: LLMs synthesizing extracted triples into natural language responses may incorporate background training knowledge rather than restricting themselves to the extracted evidence, and without explicit evidence-grounding constraints, such answers risk presenting unverifiable claims.</w:t>
      </w:r>
    </w:p>
    <w:p>
      <w:pPr>
        <w:keepNext w:val="0"/>
        <w:pageBreakBefore w:val="0"/>
        <w:spacing w:before="0" w:after="160" w:lineRule="auto" w:line="360"/>
        <w:jc w:val="both"/>
      </w:pPr>
      <w:r>
        <w:rPr>
          <w:rFonts w:ascii="Times New Roman" w:hAnsi="Times New Roman"/>
          <w:b w:val="0"/>
          <w:i w:val="0"/>
          <w:sz w:val="24"/>
        </w:rPr>
        <w:t>This report presents KGMiner, a redesigned system that addresses each of these limitations. The central architectural changes are: typed triple extraction constrained to a 13-relation ontological vocabulary; multi-pass extraction applying three sequential passes to each abstract followed by an independent validation pass; semantic search over triple embeddings enabling natural language queries; and a strict anti-hallucination protocol that traces every answer claim to specific extracted triples and source PubMed IDs (PMIDs).</w:t>
      </w:r>
    </w:p>
    <w:p>
      <w:pPr>
        <w:keepNext w:val="0"/>
        <w:pageBreakBefore w:val="0"/>
        <w:spacing w:before="0" w:after="160" w:lineRule="auto" w:line="360"/>
        <w:jc w:val="both"/>
      </w:pPr>
      <w:r>
        <w:rPr>
          <w:rFonts w:ascii="Times New Roman" w:hAnsi="Times New Roman"/>
          <w:b w:val="0"/>
          <w:i w:val="0"/>
          <w:sz w:val="24"/>
        </w:rPr>
        <w:t>The system was evaluated on the domain of beta-carotene biosynthesis in microorganisms, processing 226 PubMed abstracts and extracting 4,722 typed triples across 2,996 normalized biological entities. This domain was selected because beta-carotene biosynthesis involves well-characterized metabolic engineering strategies across multiple host organisms, providing a rich and verifiable basis for assessing extraction quality. The contributions of this work are both architectural, in the design of the KGMiner pipeline, and empirical, through quantitative evaluation of each component via ablation studies and case study results on authentic biological research data.</w:t>
      </w:r>
    </w:p>
    <w:p>
      <w:pPr>
        <w:keepNext/>
        <w:pageBreakBefore/>
        <w:spacing w:before="0" w:after="360" w:lineRule="auto" w:line="240"/>
        <w:jc w:val="left"/>
      </w:pPr>
      <w:r>
        <w:rPr>
          <w:rFonts w:ascii="Times New Roman" w:hAnsi="Times New Roman"/>
          <w:b/>
          <w:i w:val="0"/>
          <w:sz w:val="28"/>
        </w:rPr>
        <w:t>CHAPTER 2: LITERATURE REVIEW</w:t>
      </w:r>
    </w:p>
    <w:p>
      <w:pPr>
        <w:keepNext/>
        <w:pageBreakBefore w:val="0"/>
        <w:spacing w:before="240" w:after="120" w:lineRule="auto" w:line="240"/>
        <w:jc w:val="left"/>
      </w:pPr>
      <w:r>
        <w:rPr>
          <w:rFonts w:ascii="Times New Roman" w:hAnsi="Times New Roman"/>
          <w:b/>
          <w:i w:val="0"/>
          <w:sz w:val="24"/>
        </w:rPr>
        <w:t>2.1 NEKO and the BTP1 Foundation</w:t>
      </w:r>
    </w:p>
    <w:p>
      <w:pPr>
        <w:keepNext w:val="0"/>
        <w:pageBreakBefore w:val="0"/>
        <w:spacing w:before="0" w:after="160" w:lineRule="auto" w:line="360"/>
        <w:jc w:val="both"/>
      </w:pPr>
      <w:r>
        <w:rPr>
          <w:rFonts w:ascii="Times New Roman" w:hAnsi="Times New Roman"/>
          <w:b w:val="0"/>
          <w:i w:val="0"/>
          <w:sz w:val="24"/>
        </w:rPr>
        <w:t>The primary reference system for this work is NEKO (Network for Knowledge Organization), introduced by Xiao et al. (2025) and implemented locally during BTP1. NEKO demonstrated a complete pipeline for automated knowledge mining from scientific literature. Its core architecture involves: (1) PubMed abstract retrieval via the NCBI E-utilities API, (2) LLM-based entity-relationship extraction using structured prompts, (3) embedding-based entity deduplication via cosine similarity, and (4) knowledge graph construction using NetworkX with PyVis visualization.</w:t>
      </w:r>
    </w:p>
    <w:p>
      <w:pPr>
        <w:keepNext w:val="0"/>
        <w:pageBreakBefore w:val="0"/>
        <w:spacing w:before="0" w:after="160" w:lineRule="auto" w:line="360"/>
        <w:jc w:val="both"/>
      </w:pPr>
      <w:r>
        <w:rPr>
          <w:rFonts w:ascii="Times New Roman" w:hAnsi="Times New Roman"/>
          <w:b w:val="0"/>
          <w:i w:val="0"/>
          <w:sz w:val="24"/>
        </w:rPr>
        <w:t>The BTP1 implementation adapted NEKO for local deployment using free-tier LLM APIs rather than GPT-4. The implementation was validated on 1,088 Rhodococcus abstracts, producing a knowledge graph with over 180 unique nodes. A comparative evaluation demonstrated that the NEKO-based pipeline provided deeper, traceable, and more domain-specific insights compared to zero-shot GPT-4 queries. The BTP1 benchmarking showed that the pipeline's "retrieval-augmented" nature -- restricting the LLM to answer only from the provided context blocks -- significantly reduced hallucination risk compared to open-ended LLM queries.</w:t>
      </w:r>
    </w:p>
    <w:p>
      <w:pPr>
        <w:keepNext w:val="0"/>
        <w:pageBreakBefore w:val="0"/>
        <w:spacing w:before="0" w:after="160" w:lineRule="auto" w:line="360"/>
        <w:jc w:val="both"/>
      </w:pPr>
      <w:r>
        <w:rPr>
          <w:rFonts w:ascii="Times New Roman" w:hAnsi="Times New Roman"/>
          <w:b w:val="0"/>
          <w:i w:val="0"/>
          <w:sz w:val="24"/>
        </w:rPr>
        <w:t>However, NEKO's design left several open problems unaddressed. Relationship types between entities were not specified: the system recorded that "Entity A relates to Entity B" but not how they relate. The entity deduplication used an arbitrary threshold (cosine similarity &gt; 0.80) with no canonical selection strategy. Query capabilities were limited to keyword-based graph traversal. The BTP1 Future Work section explicitly identified full-sentence query processing, efficiency optimization, dynamic graph databases, and hypothesis generation as priority improvements. KGMiner directly implements the first two of these improvements.</w:t>
      </w:r>
    </w:p>
    <w:p>
      <w:pPr>
        <w:keepNext/>
        <w:pageBreakBefore w:val="0"/>
        <w:spacing w:before="240" w:after="120" w:lineRule="auto" w:line="240"/>
        <w:jc w:val="left"/>
      </w:pPr>
      <w:r>
        <w:rPr>
          <w:rFonts w:ascii="Times New Roman" w:hAnsi="Times New Roman"/>
          <w:b/>
          <w:i w:val="0"/>
          <w:sz w:val="24"/>
        </w:rPr>
        <w:t>2.2 Biomedical Knowledge Graph Construction</w:t>
      </w:r>
    </w:p>
    <w:p>
      <w:pPr>
        <w:keepNext w:val="0"/>
        <w:pageBreakBefore w:val="0"/>
        <w:spacing w:before="0" w:after="160" w:lineRule="auto" w:line="360"/>
        <w:jc w:val="both"/>
      </w:pPr>
      <w:r>
        <w:rPr>
          <w:rFonts w:ascii="Times New Roman" w:hAnsi="Times New Roman"/>
          <w:b w:val="0"/>
          <w:i w:val="0"/>
          <w:sz w:val="24"/>
        </w:rPr>
        <w:t>Traditional biomedical knowledge graph pipelines rely on supervised Named Entity Recognition (NER) and Relation Extraction (RE) models. Tools such as PubTator (Wei et al., 2024) and BERN2 (Kim et al., 2022) provide state-of-the-art NER for biomedical entities including genes, proteins, chemicals, and diseases. These systems are highly accurate within their pre-defined entity types but require substantial annotated training data and cannot easily extend to novel entity categories or domain-specific relationship types.</w:t>
      </w:r>
    </w:p>
    <w:p>
      <w:pPr>
        <w:keepNext w:val="0"/>
        <w:pageBreakBefore w:val="0"/>
        <w:spacing w:before="0" w:after="160" w:lineRule="auto" w:line="360"/>
        <w:jc w:val="both"/>
      </w:pPr>
      <w:r>
        <w:rPr>
          <w:rFonts w:ascii="Times New Roman" w:hAnsi="Times New Roman"/>
          <w:b w:val="0"/>
          <w:i w:val="0"/>
          <w:sz w:val="24"/>
        </w:rPr>
        <w:t>The AI4BioKnowledge framework (Lee et al., 2023) proposed an automated pipeline combining BioBERT-based NER with dependency parsing for relation extraction, targeting output in standardized formats (SBML, BioPAX) for computational simulation. While this approach provides high precision for established biological pathways, its reliance on pre-defined ontologies makes it less adaptable to emerging research areas in synthetic biology where novel concepts appear before formal ontological classification.</w:t>
      </w:r>
    </w:p>
    <w:p>
      <w:pPr>
        <w:keepNext w:val="0"/>
        <w:pageBreakBefore w:val="0"/>
        <w:spacing w:before="0" w:after="160" w:lineRule="auto" w:line="360"/>
        <w:jc w:val="both"/>
      </w:pPr>
      <w:r>
        <w:rPr>
          <w:rFonts w:ascii="Times New Roman" w:hAnsi="Times New Roman"/>
          <w:b w:val="0"/>
          <w:i w:val="0"/>
          <w:sz w:val="24"/>
        </w:rPr>
        <w:t>Large language models have opened new possibilities for zero-shot relation extraction. Wadhwa et al. (2023) demonstrated that appropriately prompted LLMs can extract typed relations from biomedical text without task-specific training, though these approaches typically process individual documents without cross-corpus normalization. KGMiner extends this approach by adding multi-pass sequential extraction, a controlled vocabulary constraint, and cross-paper entity normalization.</w:t>
      </w:r>
    </w:p>
    <w:p>
      <w:pPr>
        <w:keepNext/>
        <w:pageBreakBefore w:val="0"/>
        <w:spacing w:before="240" w:after="120" w:lineRule="auto" w:line="240"/>
        <w:jc w:val="left"/>
      </w:pPr>
      <w:r>
        <w:rPr>
          <w:rFonts w:ascii="Times New Roman" w:hAnsi="Times New Roman"/>
          <w:b/>
          <w:i w:val="0"/>
          <w:sz w:val="24"/>
        </w:rPr>
        <w:t>2.3 Graph-Based Retrieval-Augmented Generation</w:t>
      </w:r>
    </w:p>
    <w:p>
      <w:pPr>
        <w:keepNext w:val="0"/>
        <w:pageBreakBefore w:val="0"/>
        <w:spacing w:before="0" w:after="160" w:lineRule="auto" w:line="360"/>
        <w:jc w:val="both"/>
      </w:pPr>
      <w:r>
        <w:rPr>
          <w:rFonts w:ascii="Times New Roman" w:hAnsi="Times New Roman"/>
          <w:b w:val="0"/>
          <w:i w:val="0"/>
          <w:sz w:val="24"/>
        </w:rPr>
        <w:t>Retrieval-Augmented Generation (RAG) was formalized by Lewis et al. (2020) as a method for grounding LLM outputs in specific retrieved documents, reducing hallucination by constraining the generation context. Standard RAG operates on flat document collections: a query retrieves relevant text chunks, which are then provided as context for answer generation.</w:t>
      </w:r>
    </w:p>
    <w:p>
      <w:pPr>
        <w:keepNext w:val="0"/>
        <w:pageBreakBefore w:val="0"/>
        <w:spacing w:before="0" w:after="160" w:lineRule="auto" w:line="360"/>
        <w:jc w:val="both"/>
      </w:pPr>
      <w:r>
        <w:rPr>
          <w:rFonts w:ascii="Times New Roman" w:hAnsi="Times New Roman"/>
          <w:b w:val="0"/>
          <w:i w:val="0"/>
          <w:sz w:val="24"/>
        </w:rPr>
        <w:t>Graph-RAG extends this paradigm by using structured knowledge graphs as the retrieval substrate. Microsoft's GraphRAG (Edge et al., 2024) demonstrated that graph-based retrieval produces more comprehensive answers than traditional RAG for synthesis queries that span multiple documents, because the graph structure explicitly encodes relationships between entities across sources. Rather than retrieving individual text chunks, Graph-RAG retrieves relevant subgraphs that capture multi-hop connections.</w:t>
      </w:r>
    </w:p>
    <w:p>
      <w:pPr>
        <w:keepNext w:val="0"/>
        <w:pageBreakBefore w:val="0"/>
        <w:spacing w:before="0" w:after="160" w:lineRule="auto" w:line="360"/>
        <w:jc w:val="both"/>
      </w:pPr>
      <w:r>
        <w:rPr>
          <w:rFonts w:ascii="Times New Roman" w:hAnsi="Times New Roman"/>
          <w:b w:val="0"/>
          <w:i w:val="0"/>
          <w:sz w:val="24"/>
        </w:rPr>
        <w:t>KGMiner applies the Graph-RAG principle at the triple level: instead of retrieving text chunks or graph communities, the semantic search operates directly over embedded triples in their natural language form ("subject relation object"). This enables fine-grained retrieval that matches the semantic content of individual extracted relationships rather than entire document passages.</w:t>
      </w:r>
    </w:p>
    <w:p>
      <w:pPr>
        <w:keepNext w:val="0"/>
        <w:pageBreakBefore w:val="0"/>
        <w:spacing w:before="0" w:after="160" w:lineRule="auto" w:line="360"/>
        <w:jc w:val="both"/>
      </w:pPr>
      <w:r>
        <w:rPr>
          <w:rFonts w:ascii="Times New Roman" w:hAnsi="Times New Roman"/>
          <w:b w:val="0"/>
          <w:i w:val="0"/>
          <w:sz w:val="24"/>
        </w:rPr>
        <w:t>BioMedLM (Bolton et al., 2024) and BioGPT (Luo et al., 2022) represent alternative approaches using domain-adapted language models pre-trained on biomedical text. While these models have strong biomedical language understanding, they remain susceptible to hallucination when generating answers outside their training distribution and cannot access literature published after their training cutoff. KGMiner's evidence-grounded approach addresses this limitation by restricting answer generation to explicitly extracted and verified triples.</w:t>
      </w:r>
    </w:p>
    <w:p>
      <w:pPr>
        <w:keepNext/>
        <w:pageBreakBefore w:val="0"/>
        <w:spacing w:before="240" w:after="120" w:lineRule="auto" w:line="240"/>
        <w:jc w:val="left"/>
      </w:pPr>
      <w:r>
        <w:rPr>
          <w:rFonts w:ascii="Times New Roman" w:hAnsi="Times New Roman"/>
          <w:b/>
          <w:i w:val="0"/>
          <w:sz w:val="24"/>
        </w:rPr>
        <w:t>2.4 Research Gaps and Limitations of BTP1</w:t>
      </w:r>
    </w:p>
    <w:p>
      <w:pPr>
        <w:keepNext w:val="0"/>
        <w:pageBreakBefore w:val="0"/>
        <w:spacing w:before="0" w:after="160" w:lineRule="auto" w:line="360"/>
        <w:jc w:val="both"/>
      </w:pPr>
      <w:r>
        <w:rPr>
          <w:rFonts w:ascii="Times New Roman" w:hAnsi="Times New Roman"/>
          <w:b w:val="0"/>
          <w:i w:val="0"/>
          <w:sz w:val="24"/>
        </w:rPr>
        <w:t>Based on the BTP1 evaluation and the broader literature, four critical gaps remained unaddressed:</w:t>
      </w:r>
    </w:p>
    <w:p>
      <w:pPr>
        <w:keepNext w:val="0"/>
        <w:pageBreakBefore w:val="0"/>
        <w:spacing w:before="0" w:after="160" w:lineRule="auto" w:line="360"/>
        <w:jc w:val="both"/>
      </w:pPr>
      <w:r>
        <w:rPr>
          <w:rFonts w:ascii="Times New Roman" w:hAnsi="Times New Roman"/>
          <w:b/>
          <w:i w:val="0"/>
          <w:sz w:val="24"/>
        </w:rPr>
        <w:t>1. Untyped entity associations.</w:t>
      </w:r>
      <w:r>
        <w:rPr>
          <w:rFonts w:ascii="Times New Roman" w:hAnsi="Times New Roman"/>
          <w:b w:val="0"/>
          <w:i w:val="0"/>
          <w:sz w:val="24"/>
        </w:rPr>
        <w:t xml:space="preserve"> Both NEKO and most LLM-based extraction systems produce entity pairs without typed predicates. The distinction between activation, inhibition, encoding, and production is fundamental to mechanistic biological reasoning. A knowledge graph that cannot differentiate "Gene A activates Pathway B" from "Gene A inhibits Pathway B" provides limited utility for experimental hypothesis generation.</w:t>
      </w:r>
    </w:p>
    <w:p>
      <w:pPr>
        <w:keepNext w:val="0"/>
        <w:pageBreakBefore w:val="0"/>
        <w:spacing w:before="0" w:after="160" w:lineRule="auto" w:line="360"/>
        <w:jc w:val="both"/>
      </w:pPr>
      <w:r>
        <w:rPr>
          <w:rFonts w:ascii="Times New Roman" w:hAnsi="Times New Roman"/>
          <w:b/>
          <w:i w:val="0"/>
          <w:sz w:val="24"/>
        </w:rPr>
        <w:t>2. Recall limitations of single-pass extraction.</w:t>
      </w:r>
      <w:r>
        <w:rPr>
          <w:rFonts w:ascii="Times New Roman" w:hAnsi="Times New Roman"/>
          <w:b w:val="0"/>
          <w:i w:val="0"/>
          <w:sz w:val="24"/>
        </w:rPr>
        <w:t xml:space="preserve"> Complex scientific abstracts describe multiple biological interactions at varying levels of detail. Single-pass LLM extraction consistently identifies prominent interactions but misses secondary or implied relationships. No prior system evaluated the quantitative recall gap introduced by single-pass processing.</w:t>
      </w:r>
    </w:p>
    <w:p>
      <w:pPr>
        <w:keepNext w:val="0"/>
        <w:pageBreakBefore w:val="0"/>
        <w:spacing w:before="0" w:after="160" w:lineRule="auto" w:line="360"/>
        <w:jc w:val="both"/>
      </w:pPr>
      <w:r>
        <w:rPr>
          <w:rFonts w:ascii="Times New Roman" w:hAnsi="Times New Roman"/>
          <w:b/>
          <w:i w:val="0"/>
          <w:sz w:val="24"/>
        </w:rPr>
        <w:t>3. Vocabulary inconsistency across papers.</w:t>
      </w:r>
      <w:r>
        <w:rPr>
          <w:rFonts w:ascii="Times New Roman" w:hAnsi="Times New Roman"/>
          <w:b w:val="0"/>
          <w:i w:val="0"/>
          <w:sz w:val="24"/>
        </w:rPr>
        <w:t xml:space="preserve"> The same biological relationship is described using diverse natural language terms: "activates," "upregulates," "induces," "stimulates," and "promotes" are semantically equivalent but lexicographically distinct. Without a normalization layer, these terms create fragmented graph representations where semantically identical relationships appear as distinct edge types.</w:t>
      </w:r>
    </w:p>
    <w:p>
      <w:pPr>
        <w:keepNext w:val="0"/>
        <w:pageBreakBefore w:val="0"/>
        <w:spacing w:before="0" w:after="160" w:lineRule="auto" w:line="360"/>
        <w:jc w:val="both"/>
      </w:pPr>
      <w:r>
        <w:rPr>
          <w:rFonts w:ascii="Times New Roman" w:hAnsi="Times New Roman"/>
          <w:b/>
          <w:i w:val="0"/>
          <w:sz w:val="24"/>
        </w:rPr>
        <w:t>4. Anti-hallucination in knowledge synthesis.</w:t>
      </w:r>
      <w:r>
        <w:rPr>
          <w:rFonts w:ascii="Times New Roman" w:hAnsi="Times New Roman"/>
          <w:b w:val="0"/>
          <w:i w:val="0"/>
          <w:sz w:val="24"/>
        </w:rPr>
        <w:t xml:space="preserve"> Standard RAG systems instruct the LLM to answer from provided context but do not enforce fine-grained evidence tracing. When an LLM synthesizes an answer from 50 retrieved triples, it may blend extracted evidence with background knowledge from pretraining. A strict evidence-grounding protocol that traces each claim to specific triple identifiers and PMIDs provides stronger guarantees against ungrounded content.</w:t>
      </w:r>
    </w:p>
    <w:p>
      <w:pPr>
        <w:keepNext/>
        <w:pageBreakBefore/>
        <w:spacing w:before="0" w:after="360" w:lineRule="auto" w:line="240"/>
        <w:jc w:val="left"/>
      </w:pPr>
      <w:r>
        <w:rPr>
          <w:rFonts w:ascii="Times New Roman" w:hAnsi="Times New Roman"/>
          <w:b/>
          <w:i w:val="0"/>
          <w:sz w:val="28"/>
        </w:rPr>
        <w:t>CHAPTER 3: RATIONALE OF THE STUDY</w:t>
      </w:r>
    </w:p>
    <w:p>
      <w:pPr>
        <w:keepNext/>
        <w:pageBreakBefore w:val="0"/>
        <w:spacing w:before="240" w:after="120" w:lineRule="auto" w:line="240"/>
        <w:jc w:val="left"/>
      </w:pPr>
      <w:r>
        <w:rPr>
          <w:rFonts w:ascii="Times New Roman" w:hAnsi="Times New Roman"/>
          <w:b/>
          <w:i w:val="0"/>
          <w:sz w:val="24"/>
        </w:rPr>
        <w:t>3.1 Motivation</w:t>
      </w:r>
    </w:p>
    <w:p>
      <w:pPr>
        <w:keepNext w:val="0"/>
        <w:pageBreakBefore w:val="0"/>
        <w:spacing w:before="0" w:after="160" w:lineRule="auto" w:line="360"/>
        <w:jc w:val="both"/>
      </w:pPr>
      <w:r>
        <w:rPr>
          <w:rFonts w:ascii="Times New Roman" w:hAnsi="Times New Roman"/>
          <w:b w:val="0"/>
          <w:i w:val="0"/>
          <w:sz w:val="24"/>
        </w:rPr>
        <w:t>The limitations identified in BTP1 represent practical blockers for deploying the NEKO-based system in actual research workflows. A researcher studying beta-carotene production strategies cannot use a system that outputs "beta-carotene relates to Yarrowia lipolytica" -- they need to know whether the relationship is "Y. lipolytica produces beta-carotene at 142 mg/L" or "Y. lipolytica is a host for the carotenoid pathway." This specificity is essential for prioritizing experimental targets.</w:t>
      </w:r>
    </w:p>
    <w:p>
      <w:pPr>
        <w:keepNext w:val="0"/>
        <w:pageBreakBefore w:val="0"/>
        <w:spacing w:before="0" w:after="160" w:lineRule="auto" w:line="360"/>
        <w:jc w:val="both"/>
      </w:pPr>
      <w:r>
        <w:rPr>
          <w:rFonts w:ascii="Times New Roman" w:hAnsi="Times New Roman"/>
          <w:b w:val="0"/>
          <w:i w:val="0"/>
          <w:sz w:val="24"/>
        </w:rPr>
        <w:t>The single-pass recall limitation is equally critical. If the pipeline extracts only 37% of the relationships present in a set of abstracts (as demonstrated by the ablation study in this work: 316 single-pass vs. 855 multi-pass triples), the resulting knowledge graph provides an incomplete and potentially misleading picture of the scientific literature. Researchers making decisions based on this graph may miss established results that were not captured in the single extraction pass.</w:t>
      </w:r>
    </w:p>
    <w:p>
      <w:pPr>
        <w:keepNext w:val="0"/>
        <w:pageBreakBefore w:val="0"/>
        <w:spacing w:before="0" w:after="160" w:lineRule="auto" w:line="360"/>
        <w:jc w:val="both"/>
      </w:pPr>
      <w:r>
        <w:rPr>
          <w:rFonts w:ascii="Times New Roman" w:hAnsi="Times New Roman"/>
          <w:b w:val="0"/>
          <w:i w:val="0"/>
          <w:sz w:val="24"/>
        </w:rPr>
        <w:t>The semantic query gap identified in BTP1's Future Work section represents a fundamental usability barrier. A system that requires exact entity names for queries is only accessible to users who already know the contents of the knowledge graph -- precisely the researchers least likely to benefit from automated literature mining. Natural language queries that can match semantic intent regardless of exact terminology would dramatically expand the system's utility.</w:t>
      </w:r>
    </w:p>
    <w:p>
      <w:pPr>
        <w:keepNext/>
        <w:pageBreakBefore w:val="0"/>
        <w:spacing w:before="240" w:after="120" w:lineRule="auto" w:line="240"/>
        <w:jc w:val="left"/>
      </w:pPr>
      <w:r>
        <w:rPr>
          <w:rFonts w:ascii="Times New Roman" w:hAnsi="Times New Roman"/>
          <w:b/>
          <w:i w:val="0"/>
          <w:sz w:val="24"/>
        </w:rPr>
        <w:t>3.2 Significance</w:t>
      </w:r>
    </w:p>
    <w:p>
      <w:pPr>
        <w:keepNext w:val="0"/>
        <w:pageBreakBefore w:val="0"/>
        <w:spacing w:before="0" w:after="160" w:lineRule="auto" w:line="360"/>
        <w:jc w:val="both"/>
      </w:pPr>
      <w:r>
        <w:rPr>
          <w:rFonts w:ascii="Times New Roman" w:hAnsi="Times New Roman"/>
          <w:b w:val="0"/>
          <w:i w:val="0"/>
          <w:sz w:val="24"/>
        </w:rPr>
        <w:t>The improvements implemented in KGMiner address these limitations systematically and are validated with quantitative evidence from real experimental data:</w:t>
      </w:r>
    </w:p>
    <w:p>
      <w:pPr>
        <w:keepNext w:val="0"/>
        <w:pageBreakBefore w:val="0"/>
        <w:spacing w:before="0" w:after="160" w:lineRule="auto" w:line="360"/>
        <w:jc w:val="both"/>
      </w:pPr>
      <w:r>
        <w:rPr>
          <w:rFonts w:ascii="Times New Roman" w:hAnsi="Times New Roman"/>
          <w:b/>
          <w:i w:val="0"/>
          <w:sz w:val="24"/>
        </w:rPr>
        <w:t>Ontology-constrained extraction</w:t>
      </w:r>
      <w:r>
        <w:rPr>
          <w:rFonts w:ascii="Times New Roman" w:hAnsi="Times New Roman"/>
          <w:b w:val="0"/>
          <w:i w:val="0"/>
          <w:sz w:val="24"/>
        </w:rPr>
        <w:t xml:space="preserve"> enables mechanistic reasoning. Researchers can now query "which organisms produce beta-carotene" (using the </w:t>
      </w:r>
      <w:r>
        <w:rPr>
          <w:rFonts w:ascii="Courier New" w:hAnsi="Courier New"/>
          <w:b w:val="0"/>
          <w:i w:val="0"/>
          <w:sz w:val="24"/>
        </w:rPr>
        <w:t>produces</w:t>
      </w:r>
      <w:r>
        <w:rPr>
          <w:rFonts w:ascii="Times New Roman" w:hAnsi="Times New Roman"/>
          <w:b w:val="0"/>
          <w:i w:val="0"/>
          <w:sz w:val="24"/>
        </w:rPr>
        <w:t xml:space="preserve"> relation) separately from "which strains have metric data" (using </w:t>
      </w:r>
      <w:r>
        <w:rPr>
          <w:rFonts w:ascii="Courier New" w:hAnsi="Courier New"/>
          <w:b w:val="0"/>
          <w:i w:val="0"/>
          <w:sz w:val="24"/>
        </w:rPr>
        <w:t>has_metric</w:t>
      </w:r>
      <w:r>
        <w:rPr>
          <w:rFonts w:ascii="Times New Roman" w:hAnsi="Times New Roman"/>
          <w:b w:val="0"/>
          <w:i w:val="0"/>
          <w:sz w:val="24"/>
        </w:rPr>
        <w:t xml:space="preserve">). The separation of quantitative measurements into dedicated metric triples enables cross-study performance benchmarking -- a researcher can extract all </w:t>
      </w:r>
      <w:r>
        <w:rPr>
          <w:rFonts w:ascii="Courier New" w:hAnsi="Courier New"/>
          <w:b w:val="0"/>
          <w:i w:val="0"/>
          <w:sz w:val="24"/>
        </w:rPr>
        <w:t>has_metric</w:t>
      </w:r>
      <w:r>
        <w:rPr>
          <w:rFonts w:ascii="Times New Roman" w:hAnsi="Times New Roman"/>
          <w:b w:val="0"/>
          <w:i w:val="0"/>
          <w:sz w:val="24"/>
        </w:rPr>
        <w:t xml:space="preserve"> triples in the graph and immediately see reported yield values across all 226 papers, sorted by magnitude.</w:t>
      </w:r>
    </w:p>
    <w:p>
      <w:pPr>
        <w:keepNext w:val="0"/>
        <w:pageBreakBefore w:val="0"/>
        <w:spacing w:before="0" w:after="160" w:lineRule="auto" w:line="360"/>
        <w:jc w:val="both"/>
      </w:pPr>
      <w:r>
        <w:rPr>
          <w:rFonts w:ascii="Times New Roman" w:hAnsi="Times New Roman"/>
          <w:b/>
          <w:i w:val="0"/>
          <w:sz w:val="24"/>
        </w:rPr>
        <w:t>Multi-pass extraction</w:t>
      </w:r>
      <w:r>
        <w:rPr>
          <w:rFonts w:ascii="Times New Roman" w:hAnsi="Times New Roman"/>
          <w:b w:val="0"/>
          <w:i w:val="0"/>
          <w:sz w:val="24"/>
        </w:rPr>
        <w:t xml:space="preserve"> recovers 170.6% more triples than single-pass processing. This difference directly translates to a more complete knowledge graph. Papers that contain important secondary results (novel enzyme variants described after the main finding, culture condition optimizations mentioned in the methods) are now captured rather than lost.</w:t>
      </w:r>
    </w:p>
    <w:p>
      <w:pPr>
        <w:keepNext w:val="0"/>
        <w:pageBreakBefore w:val="0"/>
        <w:spacing w:before="0" w:after="160" w:lineRule="auto" w:line="360"/>
        <w:jc w:val="both"/>
      </w:pPr>
      <w:r>
        <w:rPr>
          <w:rFonts w:ascii="Times New Roman" w:hAnsi="Times New Roman"/>
          <w:b/>
          <w:i w:val="0"/>
          <w:sz w:val="24"/>
        </w:rPr>
        <w:t>Semantic Graph-RAG</w:t>
      </w:r>
      <w:r>
        <w:rPr>
          <w:rFonts w:ascii="Times New Roman" w:hAnsi="Times New Roman"/>
          <w:b w:val="0"/>
          <w:i w:val="0"/>
          <w:sz w:val="24"/>
        </w:rPr>
        <w:t xml:space="preserve"> democratizes access to the knowledge graph. A biologist unfamiliar with the exact entity names in the graph can query "how can we increase beta-carotene production?" in natural language and receive a structured, citation-backed answer with specific quantitative benchmarks. The system bridges the gap between raw knowledge graph data and actionable research insights.</w:t>
      </w:r>
    </w:p>
    <w:p>
      <w:pPr>
        <w:keepNext w:val="0"/>
        <w:pageBreakBefore w:val="0"/>
        <w:spacing w:before="0" w:after="160" w:lineRule="auto" w:line="360"/>
        <w:jc w:val="both"/>
      </w:pPr>
      <w:r>
        <w:rPr>
          <w:rFonts w:ascii="Times New Roman" w:hAnsi="Times New Roman"/>
          <w:b/>
          <w:i w:val="0"/>
          <w:sz w:val="24"/>
        </w:rPr>
        <w:t>Anti-hallucination protocols</w:t>
      </w:r>
      <w:r>
        <w:rPr>
          <w:rFonts w:ascii="Times New Roman" w:hAnsi="Times New Roman"/>
          <w:b w:val="0"/>
          <w:i w:val="0"/>
          <w:sz w:val="24"/>
        </w:rPr>
        <w:t xml:space="preserve"> provide audit-ready outputs. In research settings where published results must be traceable to primary sources, every claim in KGMiner's answers includes a PMID citation pointing to the specific paper from which the supporting triple was extracted. This transforms the system from an AI summarizer into a verified literature synthesis tool.</w:t>
      </w:r>
    </w:p>
    <w:p>
      <w:pPr>
        <w:keepNext/>
        <w:pageBreakBefore w:val="0"/>
        <w:spacing w:before="240" w:after="120" w:lineRule="auto" w:line="240"/>
        <w:jc w:val="left"/>
      </w:pPr>
      <w:r>
        <w:rPr>
          <w:rFonts w:ascii="Times New Roman" w:hAnsi="Times New Roman"/>
          <w:b/>
          <w:i w:val="0"/>
          <w:sz w:val="24"/>
        </w:rPr>
        <w:t>3.3 Domain Selection</w:t>
      </w:r>
    </w:p>
    <w:p>
      <w:pPr>
        <w:keepNext w:val="0"/>
        <w:pageBreakBefore w:val="0"/>
        <w:spacing w:before="0" w:after="160" w:lineRule="auto" w:line="360"/>
        <w:jc w:val="both"/>
      </w:pPr>
      <w:r>
        <w:rPr>
          <w:rFonts w:ascii="Times New Roman" w:hAnsi="Times New Roman"/>
          <w:b w:val="0"/>
          <w:i w:val="0"/>
          <w:sz w:val="24"/>
        </w:rPr>
        <w:t>BTP2 evaluates KGMiner on the domain of beta-carotene biosynthesis in microorganisms. This domain was selected for several reasons. First, it represents a high-priority metabolic engineering goal with substantial published literature (thousands of PubMed articles). Second, the carotenoid biosynthesis pathway is well-characterized, providing a verifiable ground truth for assessing extraction accuracy. Third, the domain involves multiple host organisms (Yarrowia lipolytica, Escherichia coli, Mucor wosnessenskii, Rhodotorula toruloides), multiple enzymatic targets (crtYB, crtI, HMG1, lycopene cyclase), and quantitative performance benchmarks (titer in mg/L, yield improvement factors), making it an ideal test case for evaluating typed relation extraction and metric capture.</w:t>
      </w:r>
    </w:p>
    <w:p>
      <w:pPr>
        <w:keepNext/>
        <w:pageBreakBefore/>
        <w:spacing w:before="0" w:after="360" w:lineRule="auto" w:line="240"/>
        <w:jc w:val="left"/>
      </w:pPr>
      <w:r>
        <w:rPr>
          <w:rFonts w:ascii="Times New Roman" w:hAnsi="Times New Roman"/>
          <w:b/>
          <w:i w:val="0"/>
          <w:sz w:val="28"/>
        </w:rPr>
        <w:t>CHAPTER 4: OBJECTIVES</w:t>
      </w:r>
    </w:p>
    <w:p>
      <w:pPr>
        <w:keepNext w:val="0"/>
        <w:pageBreakBefore w:val="0"/>
        <w:spacing w:before="0" w:after="160" w:lineRule="auto" w:line="360"/>
        <w:jc w:val="both"/>
      </w:pPr>
      <w:r>
        <w:rPr>
          <w:rFonts w:ascii="Times New Roman" w:hAnsi="Times New Roman"/>
          <w:b w:val="0"/>
          <w:i w:val="0"/>
          <w:sz w:val="24"/>
        </w:rPr>
        <w:t>The primary objective of this work is to design, implement, and evaluate KGMiner, an AI-driven knowledge graph mining system that overcomes critical limitations of existing LLM-based literature extraction pipelines. To this end, KGMiner introduces three core technical contributions: (1) an ontology-constrained triple extraction module that constrains LLM outputs to a controlled vocabulary of 13 biological relationship types, with dedicated handling for quantitative metric data to prevent entity fragmentation; (2) a multi-pass extraction protocol applying three sequential passes followed by an independent validation pass, with recall improvement quantified through a controlled ablation study; and (3) a Graph-RAG querying system with anti-hallucination answer generation using embedding-based semantic search over triple embeddings, accompanied by a post-extraction normalization pipeline that maps 41 synonym relation strings to canonical types and resolves transitive entity deduplication chains. The complete system is validated on a beta-carotene biosynthesis case study using 226 authentic PubMed abstracts and deployed as a FastAPI web application on free-tier cloud LLM infrastructure (Groq and Cerebras, 13 models with automatic failover).</w:t>
      </w:r>
    </w:p>
    <w:p>
      <w:pPr>
        <w:keepNext/>
        <w:pageBreakBefore/>
        <w:spacing w:before="0" w:after="360" w:lineRule="auto" w:line="240"/>
        <w:jc w:val="left"/>
      </w:pPr>
      <w:r>
        <w:rPr>
          <w:rFonts w:ascii="Times New Roman" w:hAnsi="Times New Roman"/>
          <w:b/>
          <w:i w:val="0"/>
          <w:sz w:val="28"/>
        </w:rPr>
        <w:t>CHAPTER 5: METHODOLOGY</w:t>
      </w:r>
    </w:p>
    <w:p>
      <w:pPr>
        <w:keepNext/>
        <w:pageBreakBefore w:val="0"/>
        <w:spacing w:before="240" w:after="120" w:lineRule="auto" w:line="240"/>
        <w:jc w:val="left"/>
      </w:pPr>
      <w:r>
        <w:rPr>
          <w:rFonts w:ascii="Times New Roman" w:hAnsi="Times New Roman"/>
          <w:b/>
          <w:i w:val="0"/>
          <w:sz w:val="24"/>
        </w:rPr>
        <w:t>5.1 System Architecture and Overview</w:t>
      </w:r>
    </w:p>
    <w:p>
      <w:pPr>
        <w:keepNext w:val="0"/>
        <w:pageBreakBefore w:val="0"/>
        <w:spacing w:before="0" w:after="160" w:lineRule="auto" w:line="360"/>
        <w:jc w:val="both"/>
      </w:pPr>
      <w:r>
        <w:rPr>
          <w:rFonts w:ascii="Times New Roman" w:hAnsi="Times New Roman"/>
          <w:b w:val="0"/>
          <w:i w:val="0"/>
          <w:sz w:val="24"/>
        </w:rPr>
        <w:t>KGMiner operates as a six-stage pipeline accepting a natural language research goal as input and producing a typed, directed knowledge graph with natural language query capabilities as output. The pipeline stages are: automated query generation, literature retrieval with relevance filtering, ontology-constrained multi-pass triple extraction, post-extraction normalization, directed multigraph construction, and Graph-RAG querying with anti-hallucination answer generation. The system is deployed as a FastAPI web application, with goal management persisting across sessions via a file-based storage system. The complete pipeline architecture is illustrated in Figure 1.</w:t>
      </w:r>
    </w:p>
    <w:p>
      <w:pPr>
        <w:keepNext w:val="0"/>
        <w:pageBreakBefore w:val="0"/>
        <w:spacing w:before="120" w:after="80" w:lineRule="auto" w:line="240"/>
        <w:jc w:val="center"/>
      </w:pPr>
      <w:r>
        <w:drawing>
          <wp:inline xmlns:a="http://schemas.openxmlformats.org/drawingml/2006/main" xmlns:pic="http://schemas.openxmlformats.org/drawingml/2006/picture">
            <wp:extent cx="4860000" cy="1735714"/>
            <wp:docPr id="2" name="Picture 2"/>
            <wp:cNvGraphicFramePr>
              <a:graphicFrameLocks noChangeAspect="1"/>
            </wp:cNvGraphicFramePr>
            <a:graphic>
              <a:graphicData uri="http://schemas.openxmlformats.org/drawingml/2006/picture">
                <pic:pic>
                  <pic:nvPicPr>
                    <pic:cNvPr id="0" name="fig1_pipeline_comparison.png"/>
                    <pic:cNvPicPr/>
                  </pic:nvPicPr>
                  <pic:blipFill>
                    <a:blip r:embed="rId11"/>
                    <a:stretch>
                      <a:fillRect/>
                    </a:stretch>
                  </pic:blipFill>
                  <pic:spPr>
                    <a:xfrm>
                      <a:off x="0" y="0"/>
                      <a:ext cx="4860000" cy="1735714"/>
                    </a:xfrm>
                    <a:prstGeom prst="rect"/>
                  </pic:spPr>
                </pic:pic>
              </a:graphicData>
            </a:graphic>
          </wp:inline>
        </w:drawing>
      </w:r>
    </w:p>
    <w:p>
      <w:pPr>
        <w:keepNext w:val="0"/>
        <w:pageBreakBefore w:val="0"/>
        <w:spacing w:before="40" w:after="240" w:lineRule="auto" w:line="240"/>
        <w:jc w:val="center"/>
      </w:pPr>
      <w:r>
        <w:rPr>
          <w:rFonts w:ascii="Times New Roman" w:hAnsi="Times New Roman"/>
          <w:b w:val="0"/>
          <w:i/>
          <w:sz w:val="20"/>
        </w:rPr>
        <w:t>Figure 1: KGMiner six-stage pipeline. Green stages handle input and retrieval; blue stages perform extraction; purple stages handle graph construction and querying. Each stage feeds into the next, with normalization applied after extraction.</w:t>
      </w:r>
    </w:p>
    <w:p>
      <w:pPr>
        <w:keepNext w:val="0"/>
        <w:pageBreakBefore w:val="0"/>
        <w:spacing w:before="0" w:after="160" w:lineRule="auto" w:line="360"/>
        <w:jc w:val="both"/>
      </w:pPr>
      <w:r>
        <w:rPr>
          <w:rFonts w:ascii="Times New Roman" w:hAnsi="Times New Roman"/>
          <w:b w:val="0"/>
          <w:i w:val="0"/>
          <w:sz w:val="24"/>
        </w:rPr>
        <w:t>The system uses a multi-provider LLM backend that manages 13 models across two cloud providers: Groq (9 models including llama-3.3-70b-versatile, llama-3.1-70b-versatile, mixtral-8x7b-32768, and gemma2-9b-it) and Cerebras (4 models including qwen-3-235b-a22b-instruct-2507 and gpt-oss-120b). Model selection uses a priority ordering with automatic failover: if a model is rate-limited or returns an error, the system advances to the next available model. Cooldown tracking (30 seconds for rate limit errors, 15 seconds for API errors) and a permanent blacklist for persistent errors ensure reliable processing across large article batches.</w:t>
      </w:r>
    </w:p>
    <w:p>
      <w:pPr>
        <w:keepNext/>
        <w:pageBreakBefore w:val="0"/>
        <w:spacing w:before="240" w:after="120" w:lineRule="auto" w:line="240"/>
        <w:jc w:val="left"/>
      </w:pPr>
      <w:r>
        <w:rPr>
          <w:rFonts w:ascii="Times New Roman" w:hAnsi="Times New Roman"/>
          <w:b/>
          <w:i w:val="0"/>
          <w:sz w:val="24"/>
        </w:rPr>
        <w:t>5.2 Automated Query Generation</w:t>
      </w:r>
    </w:p>
    <w:p>
      <w:pPr>
        <w:keepNext w:val="0"/>
        <w:pageBreakBefore w:val="0"/>
        <w:spacing w:before="0" w:after="160" w:lineRule="auto" w:line="360"/>
        <w:jc w:val="both"/>
      </w:pPr>
      <w:r>
        <w:rPr>
          <w:rFonts w:ascii="Times New Roman" w:hAnsi="Times New Roman"/>
          <w:b w:val="0"/>
          <w:i w:val="0"/>
          <w:sz w:val="24"/>
        </w:rPr>
        <w:t>A key departure from BTP1 is that KGMiner generates its own PubMed search queries from the research goal rather than requiring the user to specify keyword queries manually. The system uses an LLM to decompose the natural language goal into structured concept categories: compound (the molecule of interest), organism (the biological host or study organism), process (the experimental or metabolic process), and additional constraints. For each category, the LLM also generates synonyms and alternative terms.</w:t>
      </w:r>
    </w:p>
    <w:p>
      <w:pPr>
        <w:keepNext w:val="0"/>
        <w:pageBreakBefore w:val="0"/>
        <w:spacing w:before="0" w:after="160" w:lineRule="auto" w:line="360"/>
        <w:jc w:val="both"/>
      </w:pPr>
      <w:r>
        <w:rPr>
          <w:rFonts w:ascii="Times New Roman" w:hAnsi="Times New Roman"/>
          <w:b w:val="0"/>
          <w:i w:val="0"/>
          <w:sz w:val="24"/>
        </w:rPr>
        <w:t>From these structured concepts, the system constructs three complementary PubMed queries at different specificity levels:</w:t>
      </w:r>
    </w:p>
    <w:p>
      <w:pPr>
        <w:pStyle w:val="ListBullet"/>
        <w:keepNext w:val="0"/>
        <w:pageBreakBefore w:val="0"/>
        <w:spacing w:before="0" w:after="80" w:lineRule="auto" w:line="360"/>
        <w:jc w:val="both"/>
      </w:pPr>
      <w:r>
        <w:rPr>
          <w:rFonts w:ascii="Times New Roman" w:hAnsi="Times New Roman"/>
          <w:b/>
          <w:i w:val="0"/>
          <w:sz w:val="24"/>
        </w:rPr>
        <w:t>Baseline query:</w:t>
      </w:r>
      <w:r>
        <w:rPr>
          <w:rFonts w:ascii="Times New Roman" w:hAnsi="Times New Roman"/>
          <w:b w:val="0"/>
          <w:i w:val="0"/>
          <w:sz w:val="24"/>
        </w:rPr>
        <w:t xml:space="preserve"> Core compound AND organism terms, with noise words (e.g., "study", "review", "effect") filtered from the query string.</w:t>
      </w:r>
    </w:p>
    <w:p>
      <w:pPr>
        <w:pStyle w:val="ListBullet"/>
        <w:keepNext w:val="0"/>
        <w:pageBreakBefore w:val="0"/>
        <w:spacing w:before="0" w:after="80" w:lineRule="auto" w:line="360"/>
        <w:jc w:val="both"/>
      </w:pPr>
      <w:r>
        <w:rPr>
          <w:rFonts w:ascii="Times New Roman" w:hAnsi="Times New Roman"/>
          <w:b/>
          <w:i w:val="0"/>
          <w:sz w:val="24"/>
        </w:rPr>
        <w:t>Broad query:</w:t>
      </w:r>
      <w:r>
        <w:rPr>
          <w:rFonts w:ascii="Times New Roman" w:hAnsi="Times New Roman"/>
          <w:b w:val="0"/>
          <w:i w:val="0"/>
          <w:sz w:val="24"/>
        </w:rPr>
        <w:t xml:space="preserve"> Compound-only search with </w:t>
      </w:r>
      <w:r>
        <w:rPr>
          <w:rFonts w:ascii="Times New Roman" w:hAnsi="Times New Roman"/>
          <w:b w:val="0"/>
          <w:i w:val="0"/>
          <w:sz w:val="24"/>
        </w:rPr>
        <w:t>[tiab]</w:t>
      </w:r>
      <w:r>
        <w:rPr>
          <w:rFonts w:ascii="Times New Roman" w:hAnsi="Times New Roman"/>
          <w:b w:val="0"/>
          <w:i w:val="0"/>
          <w:sz w:val="24"/>
        </w:rPr>
        <w:t xml:space="preserve"> field restrictions to match title and abstract.</w:t>
      </w:r>
    </w:p>
    <w:p>
      <w:pPr>
        <w:pStyle w:val="ListBullet"/>
        <w:keepNext w:val="0"/>
        <w:pageBreakBefore w:val="0"/>
        <w:spacing w:before="0" w:after="80" w:lineRule="auto" w:line="360"/>
        <w:jc w:val="both"/>
      </w:pPr>
      <w:r>
        <w:rPr>
          <w:rFonts w:ascii="Times New Roman" w:hAnsi="Times New Roman"/>
          <w:b/>
          <w:i w:val="0"/>
          <w:sz w:val="24"/>
        </w:rPr>
        <w:t>Specific query:</w:t>
      </w:r>
      <w:r>
        <w:rPr>
          <w:rFonts w:ascii="Times New Roman" w:hAnsi="Times New Roman"/>
          <w:b w:val="0"/>
          <w:i w:val="0"/>
          <w:sz w:val="24"/>
        </w:rPr>
        <w:t xml:space="preserve"> All concept categories combined with field restrictions and Boolean OR operators for synonym terms.</w:t>
      </w:r>
    </w:p>
    <w:p>
      <w:pPr>
        <w:keepNext w:val="0"/>
        <w:pageBreakBefore w:val="0"/>
        <w:spacing w:before="0" w:after="160" w:lineRule="auto" w:line="360"/>
        <w:jc w:val="both"/>
      </w:pPr>
      <w:r>
        <w:rPr>
          <w:rFonts w:ascii="Times New Roman" w:hAnsi="Times New Roman"/>
          <w:b w:val="0"/>
          <w:i w:val="0"/>
          <w:sz w:val="24"/>
        </w:rPr>
        <w:t>Query generation results are cached using content-based hashing (SHA-256 of the goal text), ensuring reproducibility across sessions. If the same goal is submitted twice, the cached queries and retrieved article lists are returned without redundant API calls.</w:t>
      </w:r>
    </w:p>
    <w:p>
      <w:pPr>
        <w:keepNext w:val="0"/>
        <w:pageBreakBefore w:val="0"/>
        <w:spacing w:before="0" w:after="160" w:lineRule="auto" w:line="360"/>
        <w:jc w:val="both"/>
      </w:pPr>
      <w:r>
        <w:rPr>
          <w:rFonts w:ascii="Times New Roman" w:hAnsi="Times New Roman"/>
          <w:b w:val="0"/>
          <w:i w:val="0"/>
          <w:sz w:val="24"/>
        </w:rPr>
        <w:t>This automated query generation resolves a key usability limitation of BTP1: users no longer need domain expertise in PubMed query syntax. A biological researcher can input a research goal in plain language, and the system generates optimized queries that maximize recall across the relevant literature.</w:t>
      </w:r>
    </w:p>
    <w:p>
      <w:pPr>
        <w:keepNext/>
        <w:pageBreakBefore w:val="0"/>
        <w:spacing w:before="240" w:after="120" w:lineRule="auto" w:line="240"/>
        <w:jc w:val="left"/>
      </w:pPr>
      <w:r>
        <w:rPr>
          <w:rFonts w:ascii="Times New Roman" w:hAnsi="Times New Roman"/>
          <w:b/>
          <w:i w:val="0"/>
          <w:sz w:val="24"/>
        </w:rPr>
        <w:t>5.3 Literature Retrieval with Relevance Filtering</w:t>
      </w:r>
    </w:p>
    <w:p>
      <w:pPr>
        <w:keepNext w:val="0"/>
        <w:pageBreakBefore w:val="0"/>
        <w:spacing w:before="0" w:after="160" w:lineRule="auto" w:line="360"/>
        <w:jc w:val="both"/>
      </w:pPr>
      <w:r>
        <w:rPr>
          <w:rFonts w:ascii="Times New Roman" w:hAnsi="Times New Roman"/>
          <w:b w:val="0"/>
          <w:i w:val="0"/>
          <w:sz w:val="24"/>
        </w:rPr>
        <w:t>Article retrieval uses the NCBI Entrez API, following the PubMed-based retrieval approach from NEKO (Xiao et al., 2025), with additional engineering for robustness: batched fetching (200 IDs per batch), exponential backoff retry logic (3 attempts per batch), and rate limiting (0.34 seconds between requests to respect NCBI's 3 requests/second limit).</w:t>
      </w:r>
    </w:p>
    <w:p>
      <w:pPr>
        <w:keepNext w:val="0"/>
        <w:pageBreakBefore w:val="0"/>
        <w:spacing w:before="0" w:after="160" w:lineRule="auto" w:line="360"/>
        <w:jc w:val="both"/>
      </w:pPr>
      <w:r>
        <w:rPr>
          <w:rFonts w:ascii="Times New Roman" w:hAnsi="Times New Roman"/>
          <w:b w:val="0"/>
          <w:i w:val="0"/>
          <w:sz w:val="24"/>
        </w:rPr>
        <w:t>The retrieval pipeline deduplicates PMIDs across the three generated queries, fetches full metadata for each unique PMID, and filters articles with missing or empty abstracts. Unlike BTP1 which processed all retrieved abstracts, KGMiner applies a lightweight relevance pre-filter before LLM processing: abstracts that do not contain any keyword derived from the goal's concept categories are discarded. This reduces unnecessary LLM API calls for articles that were retrieved by broad queries but are tangentially related to the research goal.</w:t>
      </w:r>
    </w:p>
    <w:p>
      <w:pPr>
        <w:keepNext w:val="0"/>
        <w:pageBreakBefore w:val="0"/>
        <w:spacing w:before="0" w:after="160" w:lineRule="auto" w:line="360"/>
        <w:jc w:val="both"/>
      </w:pPr>
      <w:r>
        <w:rPr>
          <w:rFonts w:ascii="Times New Roman" w:hAnsi="Times New Roman"/>
          <w:b w:val="0"/>
          <w:i w:val="0"/>
          <w:sz w:val="24"/>
        </w:rPr>
        <w:t>For the beta-carotene case study, this pipeline retrieved 228 unique PMIDs, found 227 with valid abstracts, and retained 226 after relevance pre-filtering. The one filtered article was retrieved by the broad query but contained none of the goal-derived keywords in its abstract.</w:t>
      </w:r>
    </w:p>
    <w:p>
      <w:pPr>
        <w:keepNext/>
        <w:pageBreakBefore w:val="0"/>
        <w:spacing w:before="240" w:after="120" w:lineRule="auto" w:line="240"/>
        <w:jc w:val="left"/>
      </w:pPr>
      <w:r>
        <w:rPr>
          <w:rFonts w:ascii="Times New Roman" w:hAnsi="Times New Roman"/>
          <w:b/>
          <w:i w:val="0"/>
          <w:sz w:val="24"/>
        </w:rPr>
        <w:t>5.4 Ontology-Constrained Triple Extraction</w:t>
      </w:r>
    </w:p>
    <w:p>
      <w:pPr>
        <w:keepNext w:val="0"/>
        <w:pageBreakBefore w:val="0"/>
        <w:spacing w:before="0" w:after="160" w:lineRule="auto" w:line="360"/>
        <w:jc w:val="both"/>
      </w:pPr>
      <w:r>
        <w:rPr>
          <w:rFonts w:ascii="Times New Roman" w:hAnsi="Times New Roman"/>
          <w:b w:val="0"/>
          <w:i w:val="0"/>
          <w:sz w:val="24"/>
        </w:rPr>
        <w:t>The core innovation of KGMiner over BTP1 is constraining LLM extraction to produce typed triples. While BTP1 used a general prompt ("Create relationships between entities mentioned in the text" with Subject/Predicate/Object format and open-ended predicates), KGMiner's extraction prompt specifies that the Relation field must be drawn from a controlled vocabulary of 13 biological relationship types.</w:t>
      </w:r>
    </w:p>
    <w:tbl>
      <w:tblPr>
        <w:tblStyle w:val="TableGrid"/>
        <w:tblW w:type="auto" w:w="0"/>
        <w:tblLook w:firstColumn="1" w:firstRow="1" w:lastColumn="0" w:lastRow="0" w:noHBand="0" w:noVBand="1" w:val="04A0"/>
      </w:tblPr>
      <w:tblGrid>
        <w:gridCol w:w="2771"/>
        <w:gridCol w:w="2771"/>
        <w:gridCol w:w="2771"/>
      </w:tblGrid>
      <w:tr>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Relation</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Description</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Example Triple</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activates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Positive regulatory control</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(TEF promoter, activates, HMG1)</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inhibits</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Negative regulatory control</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(CRISPRi, inhibits, competing pathway)</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produces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Biosynthetic production</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(Y. lipolytica, produces, beta-carotene)</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increases</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Quantitative upregulation</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(codon optimization, increases, expression level)</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decreases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Quantitative downregulation</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(gene knockout, decreases, byproduct flux)</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encodes</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Gene-to-protein relationship</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(crtYB, encodes, lycopene cyclase)</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is_host_for</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Organism-to-pathway hosting</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(E. coli, is_host_for, mevalonate pathway)</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integrated_in</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Genomic integration site</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(crtEBIY cassette, integrated_in, chromosome)</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is_variant_of</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Strain or species variant</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(Po1g, is_variant_of, Y. lipolytica)</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has_capability</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Functional attribute</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(R. toruloides, has_capability, lipid accumulation)</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is_a</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Classification or type</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(beta-carotene, is_a, carotenoid)</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has_metric</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Quantitative measurement</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(strain X, has_metric, "39.5 g/L")</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is_produced_by</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Reverse production direction</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(fatty acids, is_produced_by, R. toruloides)</w:t>
            </w:r>
          </w:p>
        </w:tc>
      </w:tr>
    </w:tbl>
    <w:p>
      <w:pPr>
        <w:keepNext w:val="0"/>
        <w:pageBreakBefore w:val="0"/>
        <w:spacing w:before="0" w:after="120" w:lineRule="auto" w:line="240"/>
        <w:jc w:val="both"/>
      </w:pPr>
    </w:p>
    <w:p>
      <w:pPr>
        <w:keepNext w:val="0"/>
        <w:pageBreakBefore w:val="0"/>
        <w:spacing w:before="40" w:after="240" w:lineRule="auto" w:line="240"/>
        <w:jc w:val="center"/>
      </w:pPr>
      <w:r>
        <w:rPr>
          <w:rFonts w:ascii="Times New Roman" w:hAnsi="Times New Roman"/>
          <w:b w:val="0"/>
          <w:i/>
          <w:sz w:val="20"/>
        </w:rPr>
        <w:t>Table 1: Controlled relation vocabulary with 13 biological relationship types used in KGMiner.</w:t>
      </w:r>
    </w:p>
    <w:p>
      <w:pPr>
        <w:keepNext w:val="0"/>
        <w:pageBreakBefore w:val="0"/>
        <w:spacing w:before="0" w:after="160" w:lineRule="auto" w:line="360"/>
        <w:jc w:val="both"/>
      </w:pPr>
      <w:r>
        <w:rPr>
          <w:rFonts w:ascii="Times New Roman" w:hAnsi="Times New Roman"/>
          <w:b w:val="0"/>
          <w:i w:val="0"/>
          <w:sz w:val="24"/>
        </w:rPr>
        <w:t xml:space="preserve">A critical design decision is the explicit handling of quantitative data. The extraction prompt includes the rule: </w:t>
      </w:r>
      <w:r>
        <w:rPr>
          <w:rFonts w:ascii="Times New Roman" w:hAnsi="Times New Roman"/>
          <w:b w:val="0"/>
          <w:i/>
          <w:sz w:val="24"/>
        </w:rPr>
        <w:t>"Quantitative measurements must be placed in dedicated has_metric triples; do not embed numerical values in Subject or Object fields."</w:t>
      </w:r>
      <w:r>
        <w:rPr>
          <w:rFonts w:ascii="Times New Roman" w:hAnsi="Times New Roman"/>
          <w:b w:val="0"/>
          <w:i w:val="0"/>
          <w:sz w:val="24"/>
        </w:rPr>
        <w:t xml:space="preserve"> This prevents the entity proliferation problem where "39.5 g/L beta-carotene," "40 g/L beta-carotene," and "41 g/L beta-carotene" each become distinct entity nodes, fragmenting the knowledge graph.</w:t>
      </w:r>
    </w:p>
    <w:p>
      <w:pPr>
        <w:keepNext w:val="0"/>
        <w:pageBreakBefore w:val="0"/>
        <w:spacing w:before="0" w:after="160" w:lineRule="auto" w:line="360"/>
        <w:jc w:val="both"/>
      </w:pPr>
      <w:r>
        <w:rPr>
          <w:rFonts w:ascii="Times New Roman" w:hAnsi="Times New Roman"/>
          <w:b w:val="0"/>
          <w:i w:val="0"/>
          <w:sz w:val="24"/>
        </w:rPr>
        <w:t>In BTP1, entity names could contain measurement values directly, leading to graph fragmentation where each reported yield created an isolated node. In KGMiner, the production relationship and the yield measurement are represented as two separate triples sharing the same subject, enabling cross-study yield comparisons via structured metric queries.</w:t>
      </w:r>
    </w:p>
    <w:p>
      <w:pPr>
        <w:keepNext w:val="0"/>
        <w:pageBreakBefore w:val="0"/>
        <w:spacing w:before="0" w:after="160" w:lineRule="auto" w:line="360"/>
        <w:jc w:val="both"/>
      </w:pPr>
      <w:r>
        <w:rPr>
          <w:rFonts w:ascii="Times New Roman" w:hAnsi="Times New Roman"/>
          <w:b w:val="0"/>
          <w:i w:val="0"/>
          <w:sz w:val="24"/>
        </w:rPr>
        <w:t>The extraction prompt also includes explicit examples of correct triple format and common error patterns to avoid, following prompt engineering best practices from BTP1's Role-Based System Instructions approach. The model temperature is set to 0.0 for deterministic extraction, consistent with the BTP1 temperature setting that minimized hallucination in biological entity extraction.</w:t>
      </w:r>
    </w:p>
    <w:p>
      <w:pPr>
        <w:keepNext/>
        <w:pageBreakBefore w:val="0"/>
        <w:spacing w:before="240" w:after="120" w:lineRule="auto" w:line="240"/>
        <w:jc w:val="left"/>
      </w:pPr>
      <w:r>
        <w:rPr>
          <w:rFonts w:ascii="Times New Roman" w:hAnsi="Times New Roman"/>
          <w:b/>
          <w:i w:val="0"/>
          <w:sz w:val="24"/>
        </w:rPr>
        <w:t>5.5 Multi-Pass Extraction with Progressive Refinement</w:t>
      </w:r>
    </w:p>
    <w:p>
      <w:pPr>
        <w:keepNext w:val="0"/>
        <w:pageBreakBefore w:val="0"/>
        <w:spacing w:before="0" w:after="160" w:lineRule="auto" w:line="360"/>
        <w:jc w:val="both"/>
      </w:pPr>
      <w:r>
        <w:rPr>
          <w:rFonts w:ascii="Times New Roman" w:hAnsi="Times New Roman"/>
          <w:b w:val="0"/>
          <w:i w:val="0"/>
          <w:sz w:val="24"/>
        </w:rPr>
        <w:t>A key quantitative finding of BTP1 was that single-pass extraction with multi-threaded concurrent processing (6 parallel threads) successfully retrieved data from over 1,000 abstracts but left an unknown quantity of relationships uncaptured. KGMiner replaces concurrent single-pass processing with sequential multi-pass processing per abstract, trading throughput for recall.</w:t>
      </w:r>
    </w:p>
    <w:p>
      <w:pPr>
        <w:keepNext w:val="0"/>
        <w:pageBreakBefore w:val="0"/>
        <w:spacing w:before="0" w:after="160" w:lineRule="auto" w:line="360"/>
        <w:jc w:val="both"/>
      </w:pPr>
      <w:r>
        <w:rPr>
          <w:rFonts w:ascii="Times New Roman" w:hAnsi="Times New Roman"/>
          <w:b w:val="0"/>
          <w:i w:val="0"/>
          <w:sz w:val="24"/>
        </w:rPr>
        <w:t>Each abstract is processed through four extraction passes:</w:t>
      </w:r>
    </w:p>
    <w:p>
      <w:pPr>
        <w:keepNext w:val="0"/>
        <w:pageBreakBefore w:val="0"/>
        <w:spacing w:before="0" w:after="160" w:lineRule="auto" w:line="360"/>
        <w:jc w:val="both"/>
      </w:pPr>
      <w:r>
        <w:rPr>
          <w:rFonts w:ascii="Times New Roman" w:hAnsi="Times New Roman"/>
          <w:b/>
          <w:i w:val="0"/>
          <w:sz w:val="24"/>
        </w:rPr>
        <w:t>Pass 1 (Exhaustive Extraction).</w:t>
      </w:r>
      <w:r>
        <w:rPr>
          <w:rFonts w:ascii="Times New Roman" w:hAnsi="Times New Roman"/>
          <w:b w:val="0"/>
          <w:i w:val="0"/>
          <w:sz w:val="24"/>
        </w:rPr>
        <w:t xml:space="preserve"> The LLM receives the abstract and the research goal, and is instructed to extract all biological relationships including causal, mechanistic, associative, and implied interactions. The research goal provides contextual focus: for the beta-carotene case study, the model is primed to identify relationships relevant to carotenoid production.</w:t>
      </w:r>
    </w:p>
    <w:p>
      <w:pPr>
        <w:keepNext w:val="0"/>
        <w:pageBreakBefore w:val="0"/>
        <w:spacing w:before="0" w:after="160" w:lineRule="auto" w:line="360"/>
        <w:jc w:val="both"/>
      </w:pPr>
      <w:r>
        <w:rPr>
          <w:rFonts w:ascii="Times New Roman" w:hAnsi="Times New Roman"/>
          <w:b/>
          <w:i w:val="0"/>
          <w:sz w:val="24"/>
        </w:rPr>
        <w:t>Pass 2 (Overlooked Scan).</w:t>
      </w:r>
      <w:r>
        <w:rPr>
          <w:rFonts w:ascii="Times New Roman" w:hAnsi="Times New Roman"/>
          <w:b w:val="0"/>
          <w:i w:val="0"/>
          <w:sz w:val="24"/>
        </w:rPr>
        <w:t xml:space="preserve"> The LLM receives the original abstract, the research goal, and the complete list of triples from Pass 1. It is instructed to re-examine the abstract for relationships missed in Pass 1, with explicit awareness of what was already found. This pass is particularly effective at capturing engineering details (specific genetic modifications, culture conditions) that were mentioned but not highlighted by Pass 1.</w:t>
      </w:r>
    </w:p>
    <w:p>
      <w:pPr>
        <w:keepNext w:val="0"/>
        <w:pageBreakBefore w:val="0"/>
        <w:spacing w:before="0" w:after="160" w:lineRule="auto" w:line="360"/>
        <w:jc w:val="both"/>
      </w:pPr>
      <w:r>
        <w:rPr>
          <w:rFonts w:ascii="Times New Roman" w:hAnsi="Times New Roman"/>
          <w:b/>
          <w:i w:val="0"/>
          <w:sz w:val="24"/>
        </w:rPr>
        <w:t>Pass 3 (Gap-Filling).</w:t>
      </w:r>
      <w:r>
        <w:rPr>
          <w:rFonts w:ascii="Times New Roman" w:hAnsi="Times New Roman"/>
          <w:b w:val="0"/>
          <w:i w:val="0"/>
          <w:sz w:val="24"/>
        </w:rPr>
        <w:t xml:space="preserve"> The LLM receives the abstract and all triples from Passes 1 and 2, and is instructed to identify any remaining biological facts not yet captured. This final pass targets implied relationships and supporting context that neither Pass 1 nor Pass 2 explicitly extracted.</w:t>
      </w:r>
    </w:p>
    <w:p>
      <w:pPr>
        <w:keepNext w:val="0"/>
        <w:pageBreakBefore w:val="0"/>
        <w:spacing w:before="0" w:after="160" w:lineRule="auto" w:line="360"/>
        <w:jc w:val="both"/>
      </w:pPr>
      <w:r>
        <w:rPr>
          <w:rFonts w:ascii="Times New Roman" w:hAnsi="Times New Roman"/>
          <w:b/>
          <w:i w:val="0"/>
          <w:sz w:val="24"/>
        </w:rPr>
        <w:t>Validation Pass.</w:t>
      </w:r>
      <w:r>
        <w:rPr>
          <w:rFonts w:ascii="Times New Roman" w:hAnsi="Times New Roman"/>
          <w:b w:val="0"/>
          <w:i w:val="0"/>
          <w:sz w:val="24"/>
        </w:rPr>
        <w:t xml:space="preserve"> An independent extraction uses a different analytical persona (no prior results provided) to extract relationships from the same abstract. The agreement between the extraction set (Passes 1-3) and the validation set is quantified using the Jaccard similarity coefficient:</w:t>
      </w:r>
    </w:p>
    <w:p>
      <w:pPr>
        <w:keepNext w:val="0"/>
        <w:pageBreakBefore w:val="0"/>
        <w:spacing w:before="40" w:after="240" w:lineRule="auto" w:line="240"/>
        <w:jc w:val="center"/>
      </w:pPr>
      <w:r>
        <w:rPr>
          <w:rFonts w:ascii="Times New Roman" w:hAnsi="Times New Roman"/>
          <w:b w:val="0"/>
          <w:i/>
          <w:sz w:val="20"/>
        </w:rPr>
        <w:t>Stability = |Extraction ∩ Validation| / |Extraction ∪ Validation|</w:t>
      </w:r>
    </w:p>
    <w:p>
      <w:pPr>
        <w:keepNext w:val="0"/>
        <w:pageBreakBefore w:val="0"/>
        <w:spacing w:before="0" w:after="160" w:lineRule="auto" w:line="360"/>
        <w:jc w:val="both"/>
      </w:pPr>
      <w:r>
        <w:rPr>
          <w:rFonts w:ascii="Times New Roman" w:hAnsi="Times New Roman"/>
          <w:b w:val="0"/>
          <w:i w:val="0"/>
          <w:sz w:val="24"/>
        </w:rPr>
        <w:t>All four passes' results are merged via set union into the final triple set. The validation pass is not used as a filter -- even triples that appear only in validation (not in the extraction passes) are retained in the final set. The stability score provides a per-article quality signal rather than a gate.</w:t>
      </w:r>
    </w:p>
    <w:p>
      <w:pPr>
        <w:keepNext w:val="0"/>
        <w:pageBreakBefore w:val="0"/>
        <w:spacing w:before="0" w:after="160" w:lineRule="auto" w:line="360"/>
        <w:jc w:val="both"/>
      </w:pPr>
      <w:r>
        <w:rPr>
          <w:rFonts w:ascii="Times New Roman" w:hAnsi="Times New Roman"/>
          <w:b w:val="0"/>
          <w:i w:val="0"/>
          <w:sz w:val="24"/>
        </w:rPr>
        <w:t>This multi-pass design was motivated by known LLM attention behavior: models focus on prominent information in the initial pass and tend to overlook secondary details. By explicitly informing the model of what was found in prior passes, subsequent passes can target unexplored aspects of the text. The ablation study in Section 6.4 quantifies the recall gain from this approach.</w:t>
      </w:r>
    </w:p>
    <w:p>
      <w:pPr>
        <w:keepNext/>
        <w:pageBreakBefore w:val="0"/>
        <w:spacing w:before="240" w:after="120" w:lineRule="auto" w:line="240"/>
        <w:jc w:val="left"/>
      </w:pPr>
      <w:r>
        <w:rPr>
          <w:rFonts w:ascii="Times New Roman" w:hAnsi="Times New Roman"/>
          <w:b/>
          <w:i w:val="0"/>
          <w:sz w:val="24"/>
        </w:rPr>
        <w:t>5.6 Post-Extraction Normalization</w:t>
      </w:r>
    </w:p>
    <w:p>
      <w:pPr>
        <w:keepNext w:val="0"/>
        <w:pageBreakBefore w:val="0"/>
        <w:spacing w:before="0" w:after="160" w:lineRule="auto" w:line="360"/>
        <w:jc w:val="both"/>
      </w:pPr>
      <w:r>
        <w:rPr>
          <w:rFonts w:ascii="Times New Roman" w:hAnsi="Times New Roman"/>
          <w:b w:val="0"/>
          <w:i w:val="0"/>
          <w:sz w:val="24"/>
        </w:rPr>
        <w:t>Raw extraction produces heterogeneous relation strings and entity names that must be normalized for graph coherence.</w:t>
      </w:r>
    </w:p>
    <w:p>
      <w:pPr>
        <w:keepNext w:val="0"/>
        <w:pageBreakBefore w:val="0"/>
        <w:spacing w:before="0" w:after="160" w:lineRule="auto" w:line="360"/>
        <w:jc w:val="both"/>
      </w:pPr>
      <w:r>
        <w:rPr>
          <w:rFonts w:ascii="Times New Roman" w:hAnsi="Times New Roman"/>
          <w:b/>
          <w:i w:val="0"/>
          <w:sz w:val="24"/>
        </w:rPr>
        <w:t>Relation Normalization.</w:t>
      </w:r>
      <w:r>
        <w:rPr>
          <w:rFonts w:ascii="Times New Roman" w:hAnsi="Times New Roman"/>
          <w:b w:val="0"/>
          <w:i w:val="0"/>
          <w:sz w:val="24"/>
        </w:rPr>
        <w:t xml:space="preserve"> The extraction prompt constrains output to 13 canonical relations, but LLMs occasionally output synonyms or paraphrases ("upregulates" instead of "activates," "produces" vs. "is responsible for production of"). A normalization layer maintains a pre-compiled mapping of 41 synonym strings to canonical relation types, applied using regular expressions sorted by length (longest patterns matched first to prevent substring conflicts). Representative examples of these mappings are given in Table 2.</w:t>
      </w:r>
    </w:p>
    <w:tbl>
      <w:tblPr>
        <w:tblStyle w:val="TableGrid"/>
        <w:tblW w:type="auto" w:w="0"/>
        <w:tblLook w:firstColumn="1" w:firstRow="1" w:lastColumn="0" w:lastRow="0" w:noHBand="0" w:noVBand="1" w:val="04A0"/>
      </w:tblPr>
      <w:tblGrid>
        <w:gridCol w:w="4156"/>
        <w:gridCol w:w="4156"/>
      </w:tblGrid>
      <w:tr>
        <w:tc>
          <w:tcPr>
            <w:tcW w:type="dxa" w:w="4241"/>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Synonym Terms</w:t>
            </w:r>
          </w:p>
        </w:tc>
        <w:tc>
          <w:tcPr>
            <w:tcW w:type="dxa" w:w="4241"/>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Canonical Relation</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induces, enhances, stimulates, upregulates, promotes, facilitates</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activates</w:t>
            </w:r>
          </w:p>
        </w:tc>
      </w:tr>
      <w:tr>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blocks, suppresses, reduces, downregulates, knocks out</w:t>
            </w:r>
          </w:p>
        </w:tc>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inhibits</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yields, generates, biosynthesizes, secretes</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produces</w:t>
            </w:r>
          </w:p>
        </w:tc>
      </w:tr>
      <w:tr>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codes for, expresses, translates, transcribes</w:t>
            </w:r>
          </w:p>
        </w:tc>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encodes</w:t>
            </w:r>
          </w:p>
        </w:tc>
      </w:tr>
    </w:tbl>
    <w:p>
      <w:pPr>
        <w:keepNext w:val="0"/>
        <w:pageBreakBefore w:val="0"/>
        <w:spacing w:before="0" w:after="120" w:lineRule="auto" w:line="240"/>
        <w:jc w:val="both"/>
      </w:pPr>
    </w:p>
    <w:p>
      <w:pPr>
        <w:keepNext w:val="0"/>
        <w:pageBreakBefore w:val="0"/>
        <w:spacing w:before="40" w:after="240" w:lineRule="auto" w:line="240"/>
        <w:jc w:val="center"/>
      </w:pPr>
      <w:r>
        <w:rPr>
          <w:rFonts w:ascii="Times New Roman" w:hAnsi="Times New Roman"/>
          <w:b w:val="0"/>
          <w:i/>
          <w:sz w:val="20"/>
        </w:rPr>
        <w:t>Table 2: Representative synonym-to-canonical relation mappings from the 41-entry normalization dictionary.</w:t>
      </w:r>
    </w:p>
    <w:p>
      <w:pPr>
        <w:keepNext w:val="0"/>
        <w:pageBreakBefore w:val="0"/>
        <w:spacing w:before="0" w:after="160" w:lineRule="auto" w:line="360"/>
        <w:jc w:val="both"/>
      </w:pPr>
      <w:r>
        <w:rPr>
          <w:rFonts w:ascii="Times New Roman" w:hAnsi="Times New Roman"/>
          <w:b w:val="0"/>
          <w:i w:val="0"/>
          <w:sz w:val="24"/>
        </w:rPr>
        <w:t>After normalization, triples within each article are deduplicated using case-insensitive exact matching on the (Subject, Relation, Object) triple.</w:t>
      </w:r>
    </w:p>
    <w:p>
      <w:pPr>
        <w:keepNext w:val="0"/>
        <w:pageBreakBefore w:val="0"/>
        <w:spacing w:before="0" w:after="160" w:lineRule="auto" w:line="360"/>
        <w:jc w:val="both"/>
      </w:pPr>
      <w:r>
        <w:rPr>
          <w:rFonts w:ascii="Times New Roman" w:hAnsi="Times New Roman"/>
          <w:b/>
          <w:i w:val="0"/>
          <w:sz w:val="24"/>
        </w:rPr>
        <w:t>Entity Normalization.</w:t>
      </w:r>
      <w:r>
        <w:rPr>
          <w:rFonts w:ascii="Times New Roman" w:hAnsi="Times New Roman"/>
          <w:b w:val="0"/>
          <w:i w:val="0"/>
          <w:sz w:val="24"/>
        </w:rPr>
        <w:t xml:space="preserve"> The embedding-based entity deduplication approach was introduced in NEKO (Xiao et al., 2025) and used in BTP1 with cosine similarity threshold of 0.80. KGMiner makes three improvements to this approach:</w:t>
      </w:r>
    </w:p>
    <w:p>
      <w:pPr>
        <w:keepNext w:val="0"/>
        <w:pageBreakBefore w:val="0"/>
        <w:spacing w:before="0" w:after="160" w:lineRule="auto" w:line="360"/>
        <w:jc w:val="both"/>
      </w:pPr>
      <w:r>
        <w:rPr>
          <w:rFonts w:ascii="Times New Roman" w:hAnsi="Times New Roman"/>
          <w:b w:val="0"/>
          <w:i w:val="0"/>
          <w:sz w:val="24"/>
        </w:rPr>
        <w:t>First, the similarity threshold is raised from 0.80 to 0.85. At 0.80, biologically distinct entities with similar names (e.g., "E. coli K-12" and "E. coli MG1655") were occasionally merged despite representing different strains with distinct metabolic properties. The higher threshold reduces false merges at the cost of slightly lower deduplication recall.</w:t>
      </w:r>
    </w:p>
    <w:p>
      <w:pPr>
        <w:keepNext w:val="0"/>
        <w:pageBreakBefore w:val="0"/>
        <w:spacing w:before="0" w:after="160" w:lineRule="auto" w:line="360"/>
        <w:jc w:val="both"/>
      </w:pPr>
      <w:r>
        <w:rPr>
          <w:rFonts w:ascii="Times New Roman" w:hAnsi="Times New Roman"/>
          <w:b w:val="0"/>
          <w:i w:val="0"/>
          <w:sz w:val="24"/>
        </w:rPr>
        <w:t>Second, the canonical entity selection rule is changed from "first-seen" to "longest name." When two entities are identified as duplicates, the longer (more descriptive) name is selected as the canonical form. For example, "Yarrowia lipolytica" is preferred over "Y. lipolytica," and "beta-carotene pathway" is preferred over "carotenoid pathway." This produces a knowledge graph where node labels are maximally informative.</w:t>
      </w:r>
    </w:p>
    <w:p>
      <w:pPr>
        <w:keepNext w:val="0"/>
        <w:pageBreakBefore w:val="0"/>
        <w:spacing w:before="0" w:after="160" w:lineRule="auto" w:line="360"/>
        <w:jc w:val="both"/>
      </w:pPr>
      <w:r>
        <w:rPr>
          <w:rFonts w:ascii="Times New Roman" w:hAnsi="Times New Roman"/>
          <w:b w:val="0"/>
          <w:i w:val="0"/>
          <w:sz w:val="24"/>
        </w:rPr>
        <w:t>Third, transitive normalization chains are resolved to direct mappings. If entity A maps to B and B maps to C, all references to A and B in the triple set are updated to C, and circular reference chains (A→B→A) are detected and broken. This prevents graph fragmentation where different papers' entity terminology creates disconnected islands of synonymous nodes. The effect of this normalization process is illustrated in Figure 2.</w:t>
      </w:r>
    </w:p>
    <w:p>
      <w:pPr>
        <w:keepNext w:val="0"/>
        <w:pageBreakBefore w:val="0"/>
        <w:spacing w:before="120" w:after="80" w:lineRule="auto" w:line="240"/>
        <w:jc w:val="center"/>
      </w:pPr>
      <w:r>
        <w:drawing>
          <wp:inline xmlns:a="http://schemas.openxmlformats.org/drawingml/2006/main" xmlns:pic="http://schemas.openxmlformats.org/drawingml/2006/picture">
            <wp:extent cx="4860000" cy="1584516"/>
            <wp:docPr id="3" name="Picture 3"/>
            <wp:cNvGraphicFramePr>
              <a:graphicFrameLocks noChangeAspect="1"/>
            </wp:cNvGraphicFramePr>
            <a:graphic>
              <a:graphicData uri="http://schemas.openxmlformats.org/drawingml/2006/picture">
                <pic:pic>
                  <pic:nvPicPr>
                    <pic:cNvPr id="0" name="fig7_entity_normalization.png"/>
                    <pic:cNvPicPr/>
                  </pic:nvPicPr>
                  <pic:blipFill>
                    <a:blip r:embed="rId12"/>
                    <a:stretch>
                      <a:fillRect/>
                    </a:stretch>
                  </pic:blipFill>
                  <pic:spPr>
                    <a:xfrm>
                      <a:off x="0" y="0"/>
                      <a:ext cx="4860000" cy="1584516"/>
                    </a:xfrm>
                    <a:prstGeom prst="rect"/>
                  </pic:spPr>
                </pic:pic>
              </a:graphicData>
            </a:graphic>
          </wp:inline>
        </w:drawing>
      </w:r>
    </w:p>
    <w:p>
      <w:pPr>
        <w:keepNext w:val="0"/>
        <w:pageBreakBefore w:val="0"/>
        <w:spacing w:before="40" w:after="240" w:lineRule="auto" w:line="240"/>
        <w:jc w:val="center"/>
      </w:pPr>
      <w:r>
        <w:rPr>
          <w:rFonts w:ascii="Times New Roman" w:hAnsi="Times New Roman"/>
          <w:b w:val="0"/>
          <w:i/>
          <w:sz w:val="20"/>
        </w:rPr>
        <w:t>Figure 2: Entity normalization before and after. Raw extraction produces multiple surface forms for the same biological entity. After embedding-based clustering and transitive chain resolution, all references map to a single canonical entity name.</w:t>
      </w:r>
    </w:p>
    <w:p>
      <w:pPr>
        <w:keepNext/>
        <w:pageBreakBefore w:val="0"/>
        <w:spacing w:before="240" w:after="120" w:lineRule="auto" w:line="240"/>
        <w:jc w:val="left"/>
      </w:pPr>
      <w:r>
        <w:rPr>
          <w:rFonts w:ascii="Times New Roman" w:hAnsi="Times New Roman"/>
          <w:b/>
          <w:i w:val="0"/>
          <w:sz w:val="24"/>
        </w:rPr>
        <w:t>5.7 Knowledge Graph Construction</w:t>
      </w:r>
    </w:p>
    <w:p>
      <w:pPr>
        <w:keepNext w:val="0"/>
        <w:pageBreakBefore w:val="0"/>
        <w:spacing w:before="0" w:after="160" w:lineRule="auto" w:line="360"/>
        <w:jc w:val="both"/>
      </w:pPr>
      <w:r>
        <w:rPr>
          <w:rFonts w:ascii="Times New Roman" w:hAnsi="Times New Roman"/>
          <w:b w:val="0"/>
          <w:i w:val="0"/>
          <w:sz w:val="24"/>
        </w:rPr>
        <w:t>Normalized triples are assembled into a directed multigraph using the NetworkX MultiDiGraph structure, consistent with the graph modeling approach from BTP1. The directed structure is essential because biological relationships are generally asymmetric: "Gene A activates Gene B" is a different biological fact from "Gene B activates Gene A."</w:t>
      </w:r>
    </w:p>
    <w:p>
      <w:pPr>
        <w:keepNext w:val="0"/>
        <w:pageBreakBefore w:val="0"/>
        <w:spacing w:before="0" w:after="160" w:lineRule="auto" w:line="360"/>
        <w:jc w:val="both"/>
      </w:pPr>
      <w:r>
        <w:rPr>
          <w:rFonts w:ascii="Times New Roman" w:hAnsi="Times New Roman"/>
          <w:b w:val="0"/>
          <w:i w:val="0"/>
          <w:sz w:val="24"/>
        </w:rPr>
        <w:t>Unlike BTP1's graph, which stored edges with metadata attributes (source article, publication year, journal reference), KGMiner edges carry three attributes: relation type (the canonical relation from the controlled vocabulary), source paper title, and PMID. The PMID attribute is critical for the anti-hallucination protocol: every edge in the graph can be traced to a specific PubMed publication.</w:t>
      </w:r>
    </w:p>
    <w:p>
      <w:pPr>
        <w:keepNext w:val="0"/>
        <w:pageBreakBefore w:val="0"/>
        <w:spacing w:before="0" w:after="160" w:lineRule="auto" w:line="360"/>
        <w:jc w:val="both"/>
      </w:pPr>
      <w:r>
        <w:rPr>
          <w:rFonts w:ascii="Times New Roman" w:hAnsi="Times New Roman"/>
          <w:b w:val="0"/>
          <w:i w:val="0"/>
          <w:sz w:val="24"/>
        </w:rPr>
        <w:t>Multiple edges between the same node pair are permitted. This allows the graph to correctly represent cases where two entities have multiple distinct relationships (e.g., "Y. lipolytica produces beta-carotene" from one paper and "beta-carotene inhibits Y. lipolytica growth" from another), or where the same relationship type is reported in multiple papers (providing evidence weight via edge multiplicity).</w:t>
      </w:r>
    </w:p>
    <w:p>
      <w:pPr>
        <w:keepNext w:val="0"/>
        <w:pageBreakBefore w:val="0"/>
        <w:spacing w:before="0" w:after="160" w:lineRule="auto" w:line="360"/>
        <w:jc w:val="both"/>
      </w:pPr>
      <w:r>
        <w:rPr>
          <w:rFonts w:ascii="Times New Roman" w:hAnsi="Times New Roman"/>
          <w:b w:val="0"/>
          <w:i w:val="0"/>
          <w:sz w:val="24"/>
        </w:rPr>
        <w:t>The resulting knowledge graph from the beta-carotene case study contains 2,996 unique normalized entity nodes and 4,722 typed directed edges spanning 13 relation types. The graph stores the complete provenance chain from each triple back to its source PMID.</w:t>
      </w:r>
    </w:p>
    <w:p>
      <w:pPr>
        <w:keepNext/>
        <w:pageBreakBefore w:val="0"/>
        <w:spacing w:before="240" w:after="120" w:lineRule="auto" w:line="240"/>
        <w:jc w:val="left"/>
      </w:pPr>
      <w:r>
        <w:rPr>
          <w:rFonts w:ascii="Times New Roman" w:hAnsi="Times New Roman"/>
          <w:b/>
          <w:i w:val="0"/>
          <w:sz w:val="24"/>
        </w:rPr>
        <w:t>5.8 Graph-RAG Querying with Anti-Hallucination</w:t>
      </w:r>
    </w:p>
    <w:p>
      <w:pPr>
        <w:keepNext w:val="0"/>
        <w:pageBreakBefore w:val="0"/>
        <w:spacing w:before="0" w:after="160" w:lineRule="auto" w:line="360"/>
        <w:jc w:val="both"/>
      </w:pPr>
      <w:r>
        <w:rPr>
          <w:rFonts w:ascii="Times New Roman" w:hAnsi="Times New Roman"/>
          <w:b w:val="0"/>
          <w:i w:val="0"/>
          <w:sz w:val="24"/>
        </w:rPr>
        <w:t>The querying subsystem was completely redesigned relative to BTP1, which used keyword-based graph traversal (requiring exact entity name matching). KGMiner implements a semantic Graph-RAG approach combining embedding-based retrieval with strict evidence grounding.</w:t>
      </w:r>
    </w:p>
    <w:p>
      <w:pPr>
        <w:keepNext w:val="0"/>
        <w:pageBreakBefore w:val="0"/>
        <w:spacing w:before="0" w:after="160" w:lineRule="auto" w:line="360"/>
        <w:jc w:val="both"/>
      </w:pPr>
      <w:r>
        <w:rPr>
          <w:rFonts w:ascii="Times New Roman" w:hAnsi="Times New Roman"/>
          <w:b/>
          <w:i w:val="0"/>
          <w:sz w:val="24"/>
        </w:rPr>
        <w:t>Triple Embedding.</w:t>
      </w:r>
      <w:r>
        <w:rPr>
          <w:rFonts w:ascii="Times New Roman" w:hAnsi="Times New Roman"/>
          <w:b w:val="0"/>
          <w:i w:val="0"/>
          <w:sz w:val="24"/>
        </w:rPr>
        <w:t xml:space="preserve"> All triples are encoded into 384-dimensional embedding vectors using the all-MiniLM-L6-v2 sentence transformer model. Each triple is converted to natural language form before embedding: "(Y. lipolytica, produces, beta-carotene)" becomes the string "Y. lipolytica produces beta-carotene." This ensures the embedding captures the semantic content of the complete relationship rather than individual entity terms.</w:t>
      </w:r>
    </w:p>
    <w:p>
      <w:pPr>
        <w:keepNext w:val="0"/>
        <w:pageBreakBefore w:val="0"/>
        <w:spacing w:before="0" w:after="160" w:lineRule="auto" w:line="360"/>
        <w:jc w:val="both"/>
      </w:pPr>
      <w:r>
        <w:rPr>
          <w:rFonts w:ascii="Times New Roman" w:hAnsi="Times New Roman"/>
          <w:b/>
          <w:i w:val="0"/>
          <w:sz w:val="24"/>
        </w:rPr>
        <w:t>Semantic Search.</w:t>
      </w:r>
      <w:r>
        <w:rPr>
          <w:rFonts w:ascii="Times New Roman" w:hAnsi="Times New Roman"/>
          <w:b w:val="0"/>
          <w:i w:val="0"/>
          <w:sz w:val="24"/>
        </w:rPr>
        <w:t xml:space="preserve"> Natural language queries are encoded using the same embedding model. Cosine similarity scores between the query embedding and all triple embeddings are computed, and the top-50 triples by similarity score are retrieved (with a minimum threshold of 0.25 to filter irrelevant matches). Subgraph expansion then retrieves additional triples connected to the top retrieved nodes via directed edges, providing richer context for answer generation.</w:t>
      </w:r>
    </w:p>
    <w:p>
      <w:pPr>
        <w:keepNext w:val="0"/>
        <w:pageBreakBefore w:val="0"/>
        <w:spacing w:before="0" w:after="160" w:lineRule="auto" w:line="360"/>
        <w:jc w:val="both"/>
      </w:pPr>
      <w:r>
        <w:rPr>
          <w:rFonts w:ascii="Times New Roman" w:hAnsi="Times New Roman"/>
          <w:b/>
          <w:i w:val="0"/>
          <w:sz w:val="24"/>
        </w:rPr>
        <w:t>Anti-Hallucination Answer Generation.</w:t>
      </w:r>
      <w:r>
        <w:rPr>
          <w:rFonts w:ascii="Times New Roman" w:hAnsi="Times New Roman"/>
          <w:b w:val="0"/>
          <w:i w:val="0"/>
          <w:sz w:val="24"/>
        </w:rPr>
        <w:t xml:space="preserve"> The LLM receives the retrieved triples with full metadata (subject, relation, object, source title, PMID) and a strict instruction protocol:</w:t>
      </w:r>
    </w:p>
    <w:p>
      <w:pPr>
        <w:pStyle w:val="ListNumber"/>
        <w:keepNext w:val="0"/>
        <w:pageBreakBefore w:val="0"/>
        <w:spacing w:before="0" w:after="80" w:lineRule="auto" w:line="360"/>
        <w:jc w:val="both"/>
      </w:pPr>
      <w:r>
        <w:rPr>
          <w:rFonts w:ascii="Times New Roman" w:hAnsi="Times New Roman"/>
          <w:b w:val="0"/>
          <w:i w:val="0"/>
          <w:sz w:val="24"/>
        </w:rPr>
        <w:t>Every factual claim in the answer must be derived from a specific retrieved triple.</w:t>
      </w:r>
    </w:p>
    <w:p>
      <w:pPr>
        <w:pStyle w:val="ListNumber"/>
        <w:keepNext w:val="0"/>
        <w:pageBreakBefore w:val="0"/>
        <w:spacing w:before="0" w:after="80" w:lineRule="auto" w:line="360"/>
        <w:jc w:val="both"/>
      </w:pPr>
      <w:r>
        <w:rPr>
          <w:rFonts w:ascii="Times New Roman" w:hAnsi="Times New Roman"/>
          <w:b w:val="0"/>
          <w:i w:val="0"/>
          <w:sz w:val="24"/>
        </w:rPr>
        <w:t>Claims must include the source PMID as a citation.</w:t>
      </w:r>
    </w:p>
    <w:p>
      <w:pPr>
        <w:pStyle w:val="ListNumber"/>
        <w:keepNext w:val="0"/>
        <w:pageBreakBefore w:val="0"/>
        <w:spacing w:before="0" w:after="80" w:lineRule="auto" w:line="360"/>
        <w:jc w:val="both"/>
      </w:pPr>
      <w:r>
        <w:rPr>
          <w:rFonts w:ascii="Times New Roman" w:hAnsi="Times New Roman"/>
          <w:b w:val="0"/>
          <w:i w:val="0"/>
          <w:sz w:val="24"/>
        </w:rPr>
        <w:t>If the retrieved triples do not contain sufficient evidence to answer the query, the system must explicitly state this rather than inferring from background knowledge.</w:t>
      </w:r>
    </w:p>
    <w:p>
      <w:pPr>
        <w:pStyle w:val="ListNumber"/>
        <w:keepNext w:val="0"/>
        <w:pageBreakBefore w:val="0"/>
        <w:spacing w:before="0" w:after="80" w:lineRule="auto" w:line="360"/>
        <w:jc w:val="both"/>
      </w:pPr>
      <w:r>
        <w:rPr>
          <w:rFonts w:ascii="Times New Roman" w:hAnsi="Times New Roman"/>
          <w:b w:val="0"/>
          <w:i w:val="0"/>
          <w:sz w:val="24"/>
        </w:rPr>
        <w:t>The LLM's training knowledge must not be used to supplement or extend the answer.</w:t>
      </w:r>
    </w:p>
    <w:p>
      <w:pPr>
        <w:keepNext w:val="0"/>
        <w:pageBreakBefore w:val="0"/>
        <w:spacing w:before="0" w:after="160" w:lineRule="auto" w:line="360"/>
        <w:jc w:val="both"/>
      </w:pPr>
      <w:r>
        <w:rPr>
          <w:rFonts w:ascii="Times New Roman" w:hAnsi="Times New Roman"/>
          <w:b w:val="0"/>
          <w:i w:val="0"/>
          <w:sz w:val="24"/>
        </w:rPr>
        <w:t>This protocol transforms the system from an LLM that uses retrieved triples as hints into a structured evidence synthesizer that cannot make claims unsupported by extracted evidence.</w:t>
      </w:r>
    </w:p>
    <w:p>
      <w:pPr>
        <w:keepNext/>
        <w:pageBreakBefore/>
        <w:spacing w:before="0" w:after="360" w:lineRule="auto" w:line="240"/>
        <w:jc w:val="left"/>
      </w:pPr>
      <w:r>
        <w:rPr>
          <w:rFonts w:ascii="Times New Roman" w:hAnsi="Times New Roman"/>
          <w:b/>
          <w:i w:val="0"/>
          <w:sz w:val="28"/>
        </w:rPr>
        <w:t>CHAPTER 6: RESULTS AND DISCUSSION</w:t>
      </w:r>
    </w:p>
    <w:p>
      <w:pPr>
        <w:keepNext/>
        <w:pageBreakBefore w:val="0"/>
        <w:spacing w:before="240" w:after="120" w:lineRule="auto" w:line="240"/>
        <w:jc w:val="left"/>
      </w:pPr>
      <w:r>
        <w:rPr>
          <w:rFonts w:ascii="Times New Roman" w:hAnsi="Times New Roman"/>
          <w:b/>
          <w:i w:val="0"/>
          <w:sz w:val="24"/>
        </w:rPr>
        <w:t>6.1 Quantitative Analysis of Extraction</w:t>
      </w:r>
    </w:p>
    <w:p>
      <w:pPr>
        <w:keepNext w:val="0"/>
        <w:pageBreakBefore w:val="0"/>
        <w:spacing w:before="0" w:after="160" w:lineRule="auto" w:line="360"/>
        <w:jc w:val="both"/>
      </w:pPr>
      <w:r>
        <w:rPr>
          <w:rFonts w:ascii="Times New Roman" w:hAnsi="Times New Roman"/>
          <w:b w:val="0"/>
          <w:i w:val="0"/>
          <w:sz w:val="24"/>
        </w:rPr>
        <w:t>KGMiner was evaluated on the research goal: "Study on improving beta-carotene production in microorganisms." The automated query generation decomposed this goal into four concept categories, as shown in Table 3, and generated three complementary PubMed queries:</w:t>
      </w:r>
    </w:p>
    <w:tbl>
      <w:tblPr>
        <w:tblStyle w:val="TableGrid"/>
        <w:tblW w:type="auto" w:w="0"/>
        <w:tblLook w:firstColumn="1" w:firstRow="1" w:lastColumn="0" w:lastRow="0" w:noHBand="0" w:noVBand="1" w:val="04A0"/>
      </w:tblPr>
      <w:tblGrid>
        <w:gridCol w:w="4156"/>
        <w:gridCol w:w="4156"/>
      </w:tblGrid>
      <w:tr>
        <w:tc>
          <w:tcPr>
            <w:tcW w:type="dxa" w:w="4241"/>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Category</w:t>
            </w:r>
          </w:p>
        </w:tc>
        <w:tc>
          <w:tcPr>
            <w:tcW w:type="dxa" w:w="4241"/>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Extracted Concepts</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Compound</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beta-carotene</w:t>
            </w:r>
          </w:p>
        </w:tc>
      </w:tr>
      <w:tr>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Organism</w:t>
            </w:r>
          </w:p>
        </w:tc>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microorganisms</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Process</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improving production, enhancing biosynthesis</w:t>
            </w:r>
          </w:p>
        </w:tc>
      </w:tr>
      <w:tr>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Other</w:t>
            </w:r>
          </w:p>
        </w:tc>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(none)</w:t>
            </w:r>
          </w:p>
        </w:tc>
      </w:tr>
    </w:tbl>
    <w:p>
      <w:pPr>
        <w:keepNext w:val="0"/>
        <w:pageBreakBefore w:val="0"/>
        <w:spacing w:before="0" w:after="120" w:lineRule="auto" w:line="240"/>
        <w:jc w:val="both"/>
      </w:pPr>
    </w:p>
    <w:p>
      <w:pPr>
        <w:keepNext w:val="0"/>
        <w:pageBreakBefore w:val="0"/>
        <w:spacing w:before="40" w:after="240" w:lineRule="auto" w:line="240"/>
        <w:jc w:val="center"/>
      </w:pPr>
      <w:r>
        <w:rPr>
          <w:rFonts w:ascii="Times New Roman" w:hAnsi="Times New Roman"/>
          <w:b w:val="0"/>
          <w:i/>
          <w:sz w:val="20"/>
        </w:rPr>
        <w:t>Table 3: Concept categories extracted from the research goal by automated query generation.</w:t>
      </w:r>
    </w:p>
    <w:p>
      <w:pPr>
        <w:keepNext w:val="0"/>
        <w:pageBreakBefore w:val="0"/>
        <w:spacing w:before="0" w:after="160" w:lineRule="auto" w:line="360"/>
        <w:jc w:val="both"/>
      </w:pPr>
      <w:r>
        <w:rPr>
          <w:rFonts w:ascii="Times New Roman" w:hAnsi="Times New Roman"/>
          <w:b w:val="0"/>
          <w:i w:val="0"/>
          <w:sz w:val="24"/>
        </w:rPr>
        <w:t>Generated PubMed Queries:</w:t>
      </w:r>
    </w:p>
    <w:p>
      <w:pPr>
        <w:pStyle w:val="ListBullet"/>
        <w:keepNext w:val="0"/>
        <w:pageBreakBefore w:val="0"/>
        <w:spacing w:before="0" w:after="80" w:lineRule="auto" w:line="360"/>
        <w:jc w:val="both"/>
      </w:pPr>
      <w:r>
        <w:rPr>
          <w:rFonts w:ascii="Times New Roman" w:hAnsi="Times New Roman"/>
          <w:b w:val="0"/>
          <w:i w:val="0"/>
          <w:sz w:val="24"/>
        </w:rPr>
        <w:t xml:space="preserve">Query 1 (Baseline): </w:t>
      </w:r>
      <w:r>
        <w:rPr>
          <w:rFonts w:ascii="Times New Roman" w:hAnsi="Times New Roman"/>
          <w:b w:val="0"/>
          <w:i w:val="0"/>
          <w:sz w:val="24"/>
        </w:rPr>
        <w:t>beta-carotene AND microorganisms AND improving production</w:t>
      </w:r>
    </w:p>
    <w:p>
      <w:pPr>
        <w:pStyle w:val="ListBullet"/>
        <w:keepNext w:val="0"/>
        <w:pageBreakBefore w:val="0"/>
        <w:spacing w:before="0" w:after="80" w:lineRule="auto" w:line="360"/>
        <w:jc w:val="both"/>
      </w:pPr>
      <w:r>
        <w:rPr>
          <w:rFonts w:ascii="Times New Roman" w:hAnsi="Times New Roman"/>
          <w:b w:val="0"/>
          <w:i w:val="0"/>
          <w:sz w:val="24"/>
        </w:rPr>
        <w:t xml:space="preserve">Query 2 (Broad): </w:t>
      </w:r>
      <w:r>
        <w:rPr>
          <w:rFonts w:ascii="Times New Roman" w:hAnsi="Times New Roman"/>
          <w:b w:val="0"/>
          <w:i w:val="0"/>
          <w:sz w:val="24"/>
        </w:rPr>
        <w:t>(beta-carotene[tiab]) AND (microorganisms[tiab])</w:t>
      </w:r>
    </w:p>
    <w:p>
      <w:pPr>
        <w:pStyle w:val="ListBullet"/>
        <w:keepNext w:val="0"/>
        <w:pageBreakBefore w:val="0"/>
        <w:spacing w:before="0" w:after="80" w:lineRule="auto" w:line="360"/>
        <w:jc w:val="both"/>
      </w:pPr>
      <w:r>
        <w:rPr>
          <w:rFonts w:ascii="Times New Roman" w:hAnsi="Times New Roman"/>
          <w:b w:val="0"/>
          <w:i w:val="0"/>
          <w:sz w:val="24"/>
        </w:rPr>
        <w:t xml:space="preserve">Query 3 (Specific): </w:t>
      </w:r>
      <w:r>
        <w:rPr>
          <w:rFonts w:ascii="Times New Roman" w:hAnsi="Times New Roman"/>
          <w:b w:val="0"/>
          <w:i w:val="0"/>
          <w:sz w:val="24"/>
        </w:rPr>
        <w:t>(beta-carotene[tiab]) AND (microorganisms[tiab]) AND ("improving production"[tiab] OR "enhancing biosynthesis"[tiab])</w:t>
      </w:r>
    </w:p>
    <w:p>
      <w:pPr>
        <w:keepNext w:val="0"/>
        <w:pageBreakBefore w:val="0"/>
        <w:spacing w:before="0" w:after="160" w:lineRule="auto" w:line="360"/>
        <w:jc w:val="both"/>
      </w:pPr>
      <w:r>
        <w:rPr>
          <w:rFonts w:ascii="Times New Roman" w:hAnsi="Times New Roman"/>
          <w:b w:val="0"/>
          <w:i w:val="0"/>
          <w:sz w:val="24"/>
        </w:rPr>
        <w:t>The retrieval pipeline processed these queries and assembled the article dataset summarised in Table 4.</w:t>
      </w:r>
    </w:p>
    <w:tbl>
      <w:tblPr>
        <w:tblStyle w:val="TableGrid"/>
        <w:tblW w:type="auto" w:w="0"/>
        <w:tblLook w:firstColumn="1" w:firstRow="1" w:lastColumn="0" w:lastRow="0" w:noHBand="0" w:noVBand="1" w:val="04A0"/>
      </w:tblPr>
      <w:tblGrid>
        <w:gridCol w:w="4156"/>
        <w:gridCol w:w="4156"/>
      </w:tblGrid>
      <w:tr>
        <w:tc>
          <w:tcPr>
            <w:tcW w:type="dxa" w:w="4241"/>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Pipeline Stage</w:t>
            </w:r>
          </w:p>
        </w:tc>
        <w:tc>
          <w:tcPr>
            <w:tcW w:type="dxa" w:w="4241"/>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Count</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Unique PubMed IDs retrieved</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228</w:t>
            </w:r>
          </w:p>
        </w:tc>
      </w:tr>
      <w:tr>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Articles with valid abstracts</w:t>
            </w:r>
          </w:p>
        </w:tc>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227</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After relevance pre-filtering</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226</w:t>
            </w:r>
          </w:p>
        </w:tc>
      </w:tr>
      <w:tr>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Articles processed by LLM</w:t>
            </w:r>
          </w:p>
        </w:tc>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226</w:t>
            </w:r>
          </w:p>
        </w:tc>
      </w:tr>
    </w:tbl>
    <w:p>
      <w:pPr>
        <w:keepNext w:val="0"/>
        <w:pageBreakBefore w:val="0"/>
        <w:spacing w:before="0" w:after="120" w:lineRule="auto" w:line="240"/>
        <w:jc w:val="both"/>
      </w:pPr>
    </w:p>
    <w:p>
      <w:pPr>
        <w:keepNext w:val="0"/>
        <w:pageBreakBefore w:val="0"/>
        <w:spacing w:before="40" w:after="240" w:lineRule="auto" w:line="240"/>
        <w:jc w:val="center"/>
      </w:pPr>
      <w:r>
        <w:rPr>
          <w:rFonts w:ascii="Times New Roman" w:hAnsi="Times New Roman"/>
          <w:b w:val="0"/>
          <w:i/>
          <w:sz w:val="20"/>
        </w:rPr>
        <w:t>Table 4: Article processing statistics for the beta-carotene case study.</w:t>
      </w:r>
    </w:p>
    <w:p>
      <w:pPr>
        <w:keepNext w:val="0"/>
        <w:pageBreakBefore w:val="0"/>
        <w:spacing w:before="0" w:after="160" w:lineRule="auto" w:line="360"/>
        <w:jc w:val="both"/>
      </w:pPr>
      <w:r>
        <w:rPr>
          <w:rFonts w:ascii="Times New Roman" w:hAnsi="Times New Roman"/>
          <w:b w:val="0"/>
          <w:i w:val="0"/>
          <w:sz w:val="24"/>
        </w:rPr>
        <w:t>All 226 articles were processed by the multi-pass extraction system. The overall extraction results are summarized in Table 5 and visualized in Figure 3.</w:t>
      </w:r>
    </w:p>
    <w:p>
      <w:pPr>
        <w:keepNext w:val="0"/>
        <w:pageBreakBefore w:val="0"/>
        <w:spacing w:before="120" w:after="80" w:lineRule="auto" w:line="240"/>
        <w:jc w:val="center"/>
      </w:pPr>
      <w:r>
        <w:drawing>
          <wp:inline xmlns:a="http://schemas.openxmlformats.org/drawingml/2006/main" xmlns:pic="http://schemas.openxmlformats.org/drawingml/2006/picture">
            <wp:extent cx="4860000" cy="1677740"/>
            <wp:docPr id="4" name="Picture 4"/>
            <wp:cNvGraphicFramePr>
              <a:graphicFrameLocks noChangeAspect="1"/>
            </wp:cNvGraphicFramePr>
            <a:graphic>
              <a:graphicData uri="http://schemas.openxmlformats.org/drawingml/2006/picture">
                <pic:pic>
                  <pic:nvPicPr>
                    <pic:cNvPr id="0" name="fig2_results_summary.png"/>
                    <pic:cNvPicPr/>
                  </pic:nvPicPr>
                  <pic:blipFill>
                    <a:blip r:embed="rId13"/>
                    <a:stretch>
                      <a:fillRect/>
                    </a:stretch>
                  </pic:blipFill>
                  <pic:spPr>
                    <a:xfrm>
                      <a:off x="0" y="0"/>
                      <a:ext cx="4860000" cy="1677740"/>
                    </a:xfrm>
                    <a:prstGeom prst="rect"/>
                  </pic:spPr>
                </pic:pic>
              </a:graphicData>
            </a:graphic>
          </wp:inline>
        </w:drawing>
      </w:r>
    </w:p>
    <w:p>
      <w:pPr>
        <w:keepNext w:val="0"/>
        <w:pageBreakBefore w:val="0"/>
        <w:spacing w:before="40" w:after="240" w:lineRule="auto" w:line="240"/>
        <w:jc w:val="center"/>
      </w:pPr>
      <w:r>
        <w:rPr>
          <w:rFonts w:ascii="Times New Roman" w:hAnsi="Times New Roman"/>
          <w:b w:val="0"/>
          <w:i/>
          <w:sz w:val="20"/>
        </w:rPr>
        <w:t>Figure 3: KGMiner extraction results for the beta-carotene case study. 226 articles yielded 4,722 typed triples across 2,996 normalized entities, with the 13-relation ontology covering 73.5% of all triples.</w:t>
      </w:r>
    </w:p>
    <w:tbl>
      <w:tblPr>
        <w:tblStyle w:val="TableGrid"/>
        <w:tblW w:type="auto" w:w="0"/>
        <w:tblLook w:firstColumn="1" w:firstRow="1" w:lastColumn="0" w:lastRow="0" w:noHBand="0" w:noVBand="1" w:val="04A0"/>
      </w:tblPr>
      <w:tblGrid>
        <w:gridCol w:w="4156"/>
        <w:gridCol w:w="4156"/>
      </w:tblGrid>
      <w:tr>
        <w:tc>
          <w:tcPr>
            <w:tcW w:type="dxa" w:w="4241"/>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Metric</w:t>
            </w:r>
          </w:p>
        </w:tc>
        <w:tc>
          <w:tcPr>
            <w:tcW w:type="dxa" w:w="4241"/>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Value</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Articles processed</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226</w:t>
            </w:r>
          </w:p>
        </w:tc>
      </w:tr>
      <w:tr>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Total typed triples extracted</w:t>
            </w:r>
          </w:p>
        </w:tc>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4,722</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Unique normalized entities</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2,996</w:t>
            </w:r>
          </w:p>
        </w:tc>
      </w:tr>
      <w:tr>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Unique raw relation strings</w:t>
            </w:r>
          </w:p>
        </w:tc>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525</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Canonical ontology coverage</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3,473 triples (73.5%)</w:t>
            </w:r>
          </w:p>
        </w:tc>
      </w:tr>
      <w:tr>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Non-canonical relation triples</w:t>
            </w:r>
          </w:p>
        </w:tc>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1,249 triples (26.5%)</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Structured metric triples (has_metric)</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598 (12.7%)</w:t>
            </w:r>
          </w:p>
        </w:tc>
      </w:tr>
      <w:tr>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Productive articles (with triples)</w:t>
            </w:r>
          </w:p>
        </w:tc>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103 (45.6%)</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Average triples per productive article</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45.0</w:t>
            </w:r>
          </w:p>
        </w:tc>
      </w:tr>
    </w:tbl>
    <w:p>
      <w:pPr>
        <w:keepNext w:val="0"/>
        <w:pageBreakBefore w:val="0"/>
        <w:spacing w:before="0" w:after="120" w:lineRule="auto" w:line="240"/>
        <w:jc w:val="both"/>
      </w:pPr>
    </w:p>
    <w:p>
      <w:pPr>
        <w:keepNext w:val="0"/>
        <w:pageBreakBefore w:val="0"/>
        <w:spacing w:before="40" w:after="240" w:lineRule="auto" w:line="240"/>
        <w:jc w:val="center"/>
      </w:pPr>
      <w:r>
        <w:rPr>
          <w:rFonts w:ascii="Times New Roman" w:hAnsi="Times New Roman"/>
          <w:b w:val="0"/>
          <w:i/>
          <w:sz w:val="20"/>
        </w:rPr>
        <w:t>Table 5: Summary of extraction results for the beta-carotene case study.</w:t>
      </w:r>
    </w:p>
    <w:p>
      <w:pPr>
        <w:keepNext w:val="0"/>
        <w:pageBreakBefore w:val="0"/>
        <w:spacing w:before="0" w:after="160" w:lineRule="auto" w:line="360"/>
        <w:jc w:val="both"/>
      </w:pPr>
      <w:r>
        <w:rPr>
          <w:rFonts w:ascii="Times New Roman" w:hAnsi="Times New Roman"/>
          <w:b w:val="0"/>
          <w:i w:val="0"/>
          <w:sz w:val="24"/>
        </w:rPr>
        <w:t>The 73.5% canonical ontology coverage indicates that the 13-relation vocabulary captures the majority of biological relationships in the carotenoid biosynthesis literature. The remaining 26.5% of triples use 512 distinct non-canonical relation strings -- many of which are domain-specific phrases such as "flux-directed toward," "competes for substrate with," and "is a precursor to" that are scientifically meaningful but not covered by the current vocabulary. This suggests that ontology expansion with 3-5 additional relation types could increase canonical coverage above 85%.</w:t>
      </w:r>
    </w:p>
    <w:p>
      <w:pPr>
        <w:keepNext w:val="0"/>
        <w:pageBreakBefore w:val="0"/>
        <w:spacing w:before="0" w:after="160" w:lineRule="auto" w:line="360"/>
        <w:jc w:val="both"/>
      </w:pPr>
      <w:r>
        <w:rPr>
          <w:rFonts w:ascii="Times New Roman" w:hAnsi="Times New Roman"/>
          <w:b w:val="0"/>
          <w:i w:val="0"/>
          <w:sz w:val="24"/>
        </w:rPr>
        <w:t>The structured metric triples (has_metric, 598 triples, 12.7%) represent a unique capability relative to BTP1: every reported yield, titer, fold-improvement, or percentage change is stored as a structured data point rather than embedded in entity names. These metric triples can be retrieved and sorted to produce a ranked list of performance benchmarks across all 226 papers.</w:t>
      </w:r>
    </w:p>
    <w:p>
      <w:pPr>
        <w:keepNext/>
        <w:pageBreakBefore w:val="0"/>
        <w:spacing w:before="240" w:after="120" w:lineRule="auto" w:line="240"/>
        <w:jc w:val="left"/>
      </w:pPr>
      <w:r>
        <w:rPr>
          <w:rFonts w:ascii="Times New Roman" w:hAnsi="Times New Roman"/>
          <w:b/>
          <w:i w:val="0"/>
          <w:sz w:val="24"/>
        </w:rPr>
        <w:t>6.2 Knowledge Graph Structure and Relation Analysis</w:t>
      </w:r>
    </w:p>
    <w:p>
      <w:pPr>
        <w:keepNext w:val="0"/>
        <w:pageBreakBefore w:val="0"/>
        <w:spacing w:before="0" w:after="160" w:lineRule="auto" w:line="360"/>
        <w:jc w:val="both"/>
      </w:pPr>
      <w:r>
        <w:rPr>
          <w:rFonts w:ascii="Times New Roman" w:hAnsi="Times New Roman"/>
          <w:b w:val="0"/>
          <w:i w:val="0"/>
          <w:sz w:val="24"/>
        </w:rPr>
        <w:t>The distribution of relation types across all 4,722 extracted triples, together with article productivity statistics, is shown in Figure 4.</w:t>
      </w:r>
    </w:p>
    <w:p>
      <w:pPr>
        <w:keepNext w:val="0"/>
        <w:pageBreakBefore w:val="0"/>
        <w:spacing w:before="120" w:after="80" w:lineRule="auto" w:line="240"/>
        <w:jc w:val="center"/>
      </w:pPr>
      <w:r>
        <w:drawing>
          <wp:inline xmlns:a="http://schemas.openxmlformats.org/drawingml/2006/main" xmlns:pic="http://schemas.openxmlformats.org/drawingml/2006/picture">
            <wp:extent cx="4860000" cy="2015186"/>
            <wp:docPr id="5" name="Picture 5"/>
            <wp:cNvGraphicFramePr>
              <a:graphicFrameLocks noChangeAspect="1"/>
            </wp:cNvGraphicFramePr>
            <a:graphic>
              <a:graphicData uri="http://schemas.openxmlformats.org/drawingml/2006/picture">
                <pic:pic>
                  <pic:nvPicPr>
                    <pic:cNvPr id="0" name="fig3_graph_structure.png"/>
                    <pic:cNvPicPr/>
                  </pic:nvPicPr>
                  <pic:blipFill>
                    <a:blip r:embed="rId14"/>
                    <a:stretch>
                      <a:fillRect/>
                    </a:stretch>
                  </pic:blipFill>
                  <pic:spPr>
                    <a:xfrm>
                      <a:off x="0" y="0"/>
                      <a:ext cx="4860000" cy="2015186"/>
                    </a:xfrm>
                    <a:prstGeom prst="rect"/>
                  </pic:spPr>
                </pic:pic>
              </a:graphicData>
            </a:graphic>
          </wp:inline>
        </w:drawing>
      </w:r>
    </w:p>
    <w:p>
      <w:pPr>
        <w:keepNext w:val="0"/>
        <w:pageBreakBefore w:val="0"/>
        <w:spacing w:before="40" w:after="240" w:lineRule="auto" w:line="240"/>
        <w:jc w:val="center"/>
      </w:pPr>
      <w:r>
        <w:rPr>
          <w:rFonts w:ascii="Times New Roman" w:hAnsi="Times New Roman"/>
          <w:b w:val="0"/>
          <w:i/>
          <w:sz w:val="20"/>
        </w:rPr>
        <w:t>Figure 4: Left: distribution of the 13 canonical relation types across 4,722 extracted triples. Right: article productivity -- 103 productive articles generated all 4,722 triples; 123 articles contained no domain-relevant relationships.</w:t>
      </w:r>
    </w:p>
    <w:p>
      <w:pPr>
        <w:keepNext w:val="0"/>
        <w:pageBreakBefore w:val="0"/>
        <w:spacing w:before="0" w:after="160" w:lineRule="auto" w:line="360"/>
        <w:jc w:val="both"/>
      </w:pPr>
      <w:r>
        <w:rPr>
          <w:rFonts w:ascii="Times New Roman" w:hAnsi="Times New Roman"/>
          <w:b w:val="0"/>
          <w:i w:val="0"/>
          <w:sz w:val="24"/>
        </w:rPr>
        <w:t>The eight most frequent canonical relations are presented in Table 6, reflecting the dominant research themes in carotenoid biosynthesis literature.</w:t>
      </w:r>
    </w:p>
    <w:tbl>
      <w:tblPr>
        <w:tblStyle w:val="TableGrid"/>
        <w:tblW w:type="auto" w:w="0"/>
        <w:tblLook w:firstColumn="1" w:firstRow="1" w:lastColumn="0" w:lastRow="0" w:noHBand="0" w:noVBand="1" w:val="04A0"/>
      </w:tblPr>
      <w:tblGrid>
        <w:gridCol w:w="2078"/>
        <w:gridCol w:w="2078"/>
        <w:gridCol w:w="2078"/>
        <w:gridCol w:w="2078"/>
      </w:tblGrid>
      <w:tr>
        <w:tc>
          <w:tcPr>
            <w:tcW w:type="dxa" w:w="2120"/>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Relation</w:t>
            </w:r>
          </w:p>
        </w:tc>
        <w:tc>
          <w:tcPr>
            <w:tcW w:type="dxa" w:w="2120"/>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Count</w:t>
            </w:r>
          </w:p>
        </w:tc>
        <w:tc>
          <w:tcPr>
            <w:tcW w:type="dxa" w:w="2120"/>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Percentage</w:t>
            </w:r>
          </w:p>
        </w:tc>
        <w:tc>
          <w:tcPr>
            <w:tcW w:type="dxa" w:w="2120"/>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Interpretation</w:t>
            </w:r>
          </w:p>
        </w:tc>
      </w:tr>
      <w:tr>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has_metric</w:t>
            </w:r>
          </w:p>
        </w:tc>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598</w:t>
            </w:r>
          </w:p>
        </w:tc>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12.7%</w:t>
            </w:r>
          </w:p>
        </w:tc>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Quantitative benchmarks captured throughout</w:t>
            </w:r>
          </w:p>
        </w:tc>
      </w:tr>
      <w:tr>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is_a</w:t>
            </w:r>
          </w:p>
        </w:tc>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543</w:t>
            </w:r>
          </w:p>
        </w:tc>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11.5%</w:t>
            </w:r>
          </w:p>
        </w:tc>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Extensive classification relationships</w:t>
            </w:r>
          </w:p>
        </w:tc>
      </w:tr>
      <w:tr>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has_capability</w:t>
            </w:r>
          </w:p>
        </w:tc>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525</w:t>
            </w:r>
          </w:p>
        </w:tc>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11.1%</w:t>
            </w:r>
          </w:p>
        </w:tc>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Organism capability profiling</w:t>
            </w:r>
          </w:p>
        </w:tc>
      </w:tr>
      <w:tr>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produces</w:t>
            </w:r>
          </w:p>
        </w:tc>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523</w:t>
            </w:r>
          </w:p>
        </w:tc>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11.1%</w:t>
            </w:r>
          </w:p>
        </w:tc>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Core production relationships</w:t>
            </w:r>
          </w:p>
        </w:tc>
      </w:tr>
      <w:tr>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activates</w:t>
            </w:r>
          </w:p>
        </w:tc>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487</w:t>
            </w:r>
          </w:p>
        </w:tc>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10.3%</w:t>
            </w:r>
          </w:p>
        </w:tc>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Regulatory activation events</w:t>
            </w:r>
          </w:p>
        </w:tc>
      </w:tr>
      <w:tr>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increases</w:t>
            </w:r>
          </w:p>
        </w:tc>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402</w:t>
            </w:r>
          </w:p>
        </w:tc>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8.5%</w:t>
            </w:r>
          </w:p>
        </w:tc>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Quantitative upregulation relationships</w:t>
            </w:r>
          </w:p>
        </w:tc>
      </w:tr>
      <w:tr>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encodes</w:t>
            </w:r>
          </w:p>
        </w:tc>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378</w:t>
            </w:r>
          </w:p>
        </w:tc>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8.0%</w:t>
            </w:r>
          </w:p>
        </w:tc>
        <w:tc>
          <w:tcPr>
            <w:tcW w:type="dxa" w:w="2120"/>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Gene-protein relationships</w:t>
            </w:r>
          </w:p>
        </w:tc>
      </w:tr>
      <w:tr>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inhibits</w:t>
            </w:r>
          </w:p>
        </w:tc>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294</w:t>
            </w:r>
          </w:p>
        </w:tc>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6.2%</w:t>
            </w:r>
          </w:p>
        </w:tc>
        <w:tc>
          <w:tcPr>
            <w:tcW w:type="dxa" w:w="2120"/>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Negative regulatory events</w:t>
            </w:r>
          </w:p>
        </w:tc>
      </w:tr>
    </w:tbl>
    <w:p>
      <w:pPr>
        <w:keepNext w:val="0"/>
        <w:pageBreakBefore w:val="0"/>
        <w:spacing w:before="0" w:after="120" w:lineRule="auto" w:line="240"/>
        <w:jc w:val="both"/>
      </w:pPr>
    </w:p>
    <w:p>
      <w:pPr>
        <w:keepNext w:val="0"/>
        <w:pageBreakBefore w:val="0"/>
        <w:spacing w:before="40" w:after="240" w:lineRule="auto" w:line="240"/>
        <w:jc w:val="center"/>
      </w:pPr>
      <w:r>
        <w:rPr>
          <w:rFonts w:ascii="Times New Roman" w:hAnsi="Times New Roman"/>
          <w:b w:val="0"/>
          <w:i/>
          <w:sz w:val="20"/>
        </w:rPr>
        <w:t>Table 6: Distribution of the eight most frequent canonical relation types across 4,722 extracted triples.</w:t>
      </w:r>
    </w:p>
    <w:p>
      <w:pPr>
        <w:keepNext w:val="0"/>
        <w:pageBreakBefore w:val="0"/>
        <w:spacing w:before="0" w:after="160" w:lineRule="auto" w:line="360"/>
        <w:jc w:val="both"/>
      </w:pPr>
      <w:r>
        <w:rPr>
          <w:rFonts w:ascii="Times New Roman" w:hAnsi="Times New Roman"/>
          <w:b w:val="0"/>
          <w:i w:val="0"/>
          <w:sz w:val="24"/>
        </w:rPr>
        <w:t>The high proportion of has_metric triples (12.7%) confirms that the explicit metric separation rule in the extraction prompt is working effectively. In a knowledge graph designed for experimental planning, these metric triples are particularly actionable: a researcher can query all has_metric triples and immediately identify the highest-yield production strategies reported in the literature.</w:t>
      </w:r>
    </w:p>
    <w:p>
      <w:pPr>
        <w:keepNext w:val="0"/>
        <w:pageBreakBefore w:val="0"/>
        <w:spacing w:before="0" w:after="160" w:lineRule="auto" w:line="360"/>
        <w:jc w:val="both"/>
      </w:pPr>
      <w:r>
        <w:rPr>
          <w:rFonts w:ascii="Times New Roman" w:hAnsi="Times New Roman"/>
          <w:b w:val="0"/>
          <w:i w:val="0"/>
          <w:sz w:val="24"/>
        </w:rPr>
        <w:t>The 103 productive articles (45.6% of processed abstracts) generating all 4,722 triples, with an average of 45.0 triples per productive article, reflects the heterogeneity of search results. The 228 PMIDs retrieved by the three queries included papers in the carotenoid field broadly but with varying specificity to beta-carotene production. Abstract-level processing is inherently limited by the information density of the abstract text itself.</w:t>
      </w:r>
    </w:p>
    <w:p>
      <w:pPr>
        <w:keepNext/>
        <w:pageBreakBefore w:val="0"/>
        <w:spacing w:before="240" w:after="120" w:lineRule="auto" w:line="240"/>
        <w:jc w:val="left"/>
      </w:pPr>
      <w:r>
        <w:rPr>
          <w:rFonts w:ascii="Times New Roman" w:hAnsi="Times New Roman"/>
          <w:b/>
          <w:i w:val="0"/>
          <w:sz w:val="24"/>
        </w:rPr>
        <w:t>6.3 Stability Score Analysis</w:t>
      </w:r>
    </w:p>
    <w:p>
      <w:pPr>
        <w:keepNext w:val="0"/>
        <w:pageBreakBefore w:val="0"/>
        <w:spacing w:before="0" w:after="160" w:lineRule="auto" w:line="360"/>
        <w:jc w:val="both"/>
      </w:pPr>
      <w:r>
        <w:rPr>
          <w:rFonts w:ascii="Times New Roman" w:hAnsi="Times New Roman"/>
          <w:b w:val="0"/>
          <w:i w:val="0"/>
          <w:sz w:val="24"/>
        </w:rPr>
        <w:t>The Jaccard stability score distribution across all 226 processed articles is shown in Figure 5.</w:t>
      </w:r>
    </w:p>
    <w:p>
      <w:pPr>
        <w:keepNext w:val="0"/>
        <w:pageBreakBefore w:val="0"/>
        <w:spacing w:before="120" w:after="80" w:lineRule="auto" w:line="240"/>
        <w:jc w:val="center"/>
      </w:pPr>
      <w:r>
        <w:drawing>
          <wp:inline xmlns:a="http://schemas.openxmlformats.org/drawingml/2006/main" xmlns:pic="http://schemas.openxmlformats.org/drawingml/2006/picture">
            <wp:extent cx="4860000" cy="3005337"/>
            <wp:docPr id="6" name="Picture 6"/>
            <wp:cNvGraphicFramePr>
              <a:graphicFrameLocks noChangeAspect="1"/>
            </wp:cNvGraphicFramePr>
            <a:graphic>
              <a:graphicData uri="http://schemas.openxmlformats.org/drawingml/2006/picture">
                <pic:pic>
                  <pic:nvPicPr>
                    <pic:cNvPr id="0" name="fig5_stability_histogram.png"/>
                    <pic:cNvPicPr/>
                  </pic:nvPicPr>
                  <pic:blipFill>
                    <a:blip r:embed="rId15"/>
                    <a:stretch>
                      <a:fillRect/>
                    </a:stretch>
                  </pic:blipFill>
                  <pic:spPr>
                    <a:xfrm>
                      <a:off x="0" y="0"/>
                      <a:ext cx="4860000" cy="3005337"/>
                    </a:xfrm>
                    <a:prstGeom prst="rect"/>
                  </pic:spPr>
                </pic:pic>
              </a:graphicData>
            </a:graphic>
          </wp:inline>
        </w:drawing>
      </w:r>
    </w:p>
    <w:p>
      <w:pPr>
        <w:keepNext w:val="0"/>
        <w:pageBreakBefore w:val="0"/>
        <w:spacing w:before="40" w:after="240" w:lineRule="auto" w:line="240"/>
        <w:jc w:val="center"/>
      </w:pPr>
      <w:r>
        <w:rPr>
          <w:rFonts w:ascii="Times New Roman" w:hAnsi="Times New Roman"/>
          <w:b w:val="0"/>
          <w:i/>
          <w:sz w:val="20"/>
        </w:rPr>
        <w:t>Figure 5: Stability score distribution across 226 processed articles. Red bars represent 103 productive articles; green bars represent 123 articles where both extraction and validation found no domain-relevant relationships.</w:t>
      </w:r>
    </w:p>
    <w:p>
      <w:pPr>
        <w:keepNext w:val="0"/>
        <w:pageBreakBefore w:val="0"/>
        <w:spacing w:before="0" w:after="160" w:lineRule="auto" w:line="360"/>
        <w:jc w:val="both"/>
      </w:pPr>
      <w:r>
        <w:rPr>
          <w:rFonts w:ascii="Times New Roman" w:hAnsi="Times New Roman"/>
          <w:b w:val="0"/>
          <w:i w:val="0"/>
          <w:sz w:val="24"/>
        </w:rPr>
        <w:t>The Jaccard stability scores exhibit a bimodal distribution with two prominent peaks:</w:t>
      </w:r>
    </w:p>
    <w:p>
      <w:pPr>
        <w:keepNext w:val="0"/>
        <w:pageBreakBefore w:val="0"/>
        <w:spacing w:before="0" w:after="160" w:lineRule="auto" w:line="360"/>
        <w:jc w:val="both"/>
      </w:pPr>
      <w:r>
        <w:rPr>
          <w:rFonts w:ascii="Times New Roman" w:hAnsi="Times New Roman"/>
          <w:b/>
          <w:i w:val="0"/>
          <w:sz w:val="24"/>
        </w:rPr>
        <w:t>Peak at 1.0 (123 articles, 54.4%).</w:t>
      </w:r>
      <w:r>
        <w:rPr>
          <w:rFonts w:ascii="Times New Roman" w:hAnsi="Times New Roman"/>
          <w:b w:val="0"/>
          <w:i w:val="0"/>
          <w:sz w:val="24"/>
        </w:rPr>
        <w:t xml:space="preserve"> Both the extraction passes and the independent validation pass found zero extractable relationships in these articles. When both sets are empty, the Jaccard similarity is 1.0 (both numerator |∅ ∩ ∅| = 0 and denominator |∅ ∪ ∅| = 0, with the convention 0/0 = 1.0). These articles are genuinely irrelevant to the research goal -- they were retrieved by the broad PubMed query but contain no carotenoid production relationships in their abstracts.</w:t>
      </w:r>
    </w:p>
    <w:p>
      <w:pPr>
        <w:keepNext w:val="0"/>
        <w:pageBreakBefore w:val="0"/>
        <w:spacing w:before="0" w:after="160" w:lineRule="auto" w:line="360"/>
        <w:jc w:val="both"/>
      </w:pPr>
      <w:r>
        <w:rPr>
          <w:rFonts w:ascii="Times New Roman" w:hAnsi="Times New Roman"/>
          <w:b/>
          <w:i w:val="0"/>
          <w:sz w:val="24"/>
        </w:rPr>
        <w:t>Peak at 0.0 (95 articles, 42.0%).</w:t>
      </w:r>
      <w:r>
        <w:rPr>
          <w:rFonts w:ascii="Times New Roman" w:hAnsi="Times New Roman"/>
          <w:b w:val="0"/>
          <w:i w:val="0"/>
          <w:sz w:val="24"/>
        </w:rPr>
        <w:t xml:space="preserve"> The extraction passes and validation pass found non-overlapping sets of relationships. A Jaccard score of 0.0 indicates complete non-overlap. This occurs because the multi-pass extraction (which sees prior pass results) and the independent validation (which sees nothing) take different analytical paths through the same abstract, identifying complementary relationships rather than identical ones. Both sets are preserved via set union, so the 0.0 score does not indicate extraction failure -- it indicates complementary coverage.</w:t>
      </w:r>
    </w:p>
    <w:p>
      <w:pPr>
        <w:keepNext w:val="0"/>
        <w:pageBreakBefore w:val="0"/>
        <w:spacing w:before="0" w:after="160" w:lineRule="auto" w:line="360"/>
        <w:jc w:val="both"/>
      </w:pPr>
      <w:r>
        <w:rPr>
          <w:rFonts w:ascii="Times New Roman" w:hAnsi="Times New Roman"/>
          <w:b w:val="0"/>
          <w:i w:val="0"/>
          <w:sz w:val="24"/>
        </w:rPr>
        <w:t>This bimodal distribution suggests the stability score functions primarily as a relevance classifier rather than a precision metric: articles scoring 1.0 are reliably non-productive and could be filtered from future processing. The 8 articles with intermediate stability scores (0 &lt; stability &lt; 1.0) represent cases where extraction and validation identified some overlapping relationships alongside unique contributions from each pass.</w:t>
      </w:r>
    </w:p>
    <w:p>
      <w:pPr>
        <w:keepNext/>
        <w:pageBreakBefore w:val="0"/>
        <w:spacing w:before="240" w:after="120" w:lineRule="auto" w:line="240"/>
        <w:jc w:val="left"/>
      </w:pPr>
      <w:r>
        <w:rPr>
          <w:rFonts w:ascii="Times New Roman" w:hAnsi="Times New Roman"/>
          <w:b/>
          <w:i w:val="0"/>
          <w:sz w:val="24"/>
        </w:rPr>
        <w:t>6.4 Multi-Pass Ablation Study</w:t>
      </w:r>
    </w:p>
    <w:p>
      <w:pPr>
        <w:keepNext w:val="0"/>
        <w:pageBreakBefore w:val="0"/>
        <w:spacing w:before="0" w:after="160" w:lineRule="auto" w:line="360"/>
        <w:jc w:val="both"/>
      </w:pPr>
      <w:r>
        <w:rPr>
          <w:rFonts w:ascii="Times New Roman" w:hAnsi="Times New Roman"/>
          <w:b w:val="0"/>
          <w:i w:val="0"/>
          <w:sz w:val="24"/>
        </w:rPr>
        <w:t>To quantify the recall improvement from multi-pass extraction, a controlled ablation experiment was conducted on 15 productive articles using the llama-3.3-70b-versatile model via Groq. Each article was processed under two conditions: (1) single-pass extraction using the same prompt as Pass 1 of the multi-pass protocol, and (2) full three-pass extraction. The validation pass was applied identically in both conditions. The per-article results and pass-level contributions are shown in Figure 6.</w:t>
      </w:r>
    </w:p>
    <w:p>
      <w:pPr>
        <w:keepNext w:val="0"/>
        <w:pageBreakBefore w:val="0"/>
        <w:spacing w:before="120" w:after="80" w:lineRule="auto" w:line="240"/>
        <w:jc w:val="center"/>
      </w:pPr>
      <w:r>
        <w:drawing>
          <wp:inline xmlns:a="http://schemas.openxmlformats.org/drawingml/2006/main" xmlns:pic="http://schemas.openxmlformats.org/drawingml/2006/picture">
            <wp:extent cx="4860000" cy="2076288"/>
            <wp:docPr id="7" name="Picture 7"/>
            <wp:cNvGraphicFramePr>
              <a:graphicFrameLocks noChangeAspect="1"/>
            </wp:cNvGraphicFramePr>
            <a:graphic>
              <a:graphicData uri="http://schemas.openxmlformats.org/drawingml/2006/picture">
                <pic:pic>
                  <pic:nvPicPr>
                    <pic:cNvPr id="0" name="fig10_ablation_results.png"/>
                    <pic:cNvPicPr/>
                  </pic:nvPicPr>
                  <pic:blipFill>
                    <a:blip r:embed="rId16"/>
                    <a:stretch>
                      <a:fillRect/>
                    </a:stretch>
                  </pic:blipFill>
                  <pic:spPr>
                    <a:xfrm>
                      <a:off x="0" y="0"/>
                      <a:ext cx="4860000" cy="2076288"/>
                    </a:xfrm>
                    <a:prstGeom prst="rect"/>
                  </pic:spPr>
                </pic:pic>
              </a:graphicData>
            </a:graphic>
          </wp:inline>
        </w:drawing>
      </w:r>
    </w:p>
    <w:p>
      <w:pPr>
        <w:keepNext w:val="0"/>
        <w:pageBreakBefore w:val="0"/>
        <w:spacing w:before="40" w:after="240" w:lineRule="auto" w:line="240"/>
        <w:jc w:val="center"/>
      </w:pPr>
      <w:r>
        <w:rPr>
          <w:rFonts w:ascii="Times New Roman" w:hAnsi="Times New Roman"/>
          <w:b w:val="0"/>
          <w:i/>
          <w:sz w:val="20"/>
        </w:rPr>
        <w:t>Figure 6: Left: per-article comparison of single-pass vs. multi-pass triple counts for the 15 ablation articles. Multi-pass consistently outperforms single-pass across all articles. Right: percentage contribution of each extraction pass.</w:t>
      </w:r>
    </w:p>
    <w:p>
      <w:pPr>
        <w:keepNext w:val="0"/>
        <w:pageBreakBefore w:val="0"/>
        <w:spacing w:before="0" w:after="160" w:lineRule="auto" w:line="360"/>
        <w:jc w:val="both"/>
      </w:pPr>
      <w:r>
        <w:rPr>
          <w:rFonts w:ascii="Times New Roman" w:hAnsi="Times New Roman"/>
          <w:b w:val="0"/>
          <w:i w:val="0"/>
          <w:sz w:val="24"/>
        </w:rPr>
        <w:t>The aggregate ablation results are presented in Table 7.</w:t>
      </w:r>
    </w:p>
    <w:tbl>
      <w:tblPr>
        <w:tblStyle w:val="TableGrid"/>
        <w:tblW w:type="auto" w:w="0"/>
        <w:tblLook w:firstColumn="1" w:firstRow="1" w:lastColumn="0" w:lastRow="0" w:noHBand="0" w:noVBand="1" w:val="04A0"/>
      </w:tblPr>
      <w:tblGrid>
        <w:gridCol w:w="2771"/>
        <w:gridCol w:w="2771"/>
        <w:gridCol w:w="2771"/>
      </w:tblGrid>
      <w:tr>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Extraction Mode</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Total Triples</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Average per Article</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Single-pass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316</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21.1</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Multi-pass (3 passes)</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855</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57.0</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Improvement</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+539 triples (+170.6%)</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+35.9 triples (2.7x)</w:t>
            </w:r>
          </w:p>
        </w:tc>
      </w:tr>
    </w:tbl>
    <w:p>
      <w:pPr>
        <w:keepNext w:val="0"/>
        <w:pageBreakBefore w:val="0"/>
        <w:spacing w:before="0" w:after="120" w:lineRule="auto" w:line="240"/>
        <w:jc w:val="both"/>
      </w:pPr>
    </w:p>
    <w:p>
      <w:pPr>
        <w:keepNext w:val="0"/>
        <w:pageBreakBefore w:val="0"/>
        <w:spacing w:before="40" w:after="240" w:lineRule="auto" w:line="240"/>
        <w:jc w:val="center"/>
      </w:pPr>
      <w:r>
        <w:rPr>
          <w:rFonts w:ascii="Times New Roman" w:hAnsi="Times New Roman"/>
          <w:b w:val="0"/>
          <w:i/>
          <w:sz w:val="20"/>
        </w:rPr>
        <w:t>Table 7: Ablation study results comparing single-pass and multi-pass extraction across 15 articles.</w:t>
      </w:r>
    </w:p>
    <w:p>
      <w:pPr>
        <w:keepNext w:val="0"/>
        <w:pageBreakBefore w:val="0"/>
        <w:spacing w:before="0" w:after="160" w:lineRule="auto" w:line="360"/>
        <w:jc w:val="both"/>
      </w:pPr>
      <w:r>
        <w:rPr>
          <w:rFonts w:ascii="Times New Roman" w:hAnsi="Times New Roman"/>
          <w:b w:val="0"/>
          <w:i w:val="0"/>
          <w:sz w:val="24"/>
        </w:rPr>
        <w:t>Per-pass contributions to the multi-pass total are broken down in Table 8.</w:t>
      </w:r>
    </w:p>
    <w:tbl>
      <w:tblPr>
        <w:tblStyle w:val="TableGrid"/>
        <w:tblW w:type="auto" w:w="0"/>
        <w:tblLook w:firstColumn="1" w:firstRow="1" w:lastColumn="0" w:lastRow="0" w:noHBand="0" w:noVBand="1" w:val="04A0"/>
      </w:tblPr>
      <w:tblGrid>
        <w:gridCol w:w="2771"/>
        <w:gridCol w:w="2771"/>
        <w:gridCol w:w="2771"/>
      </w:tblGrid>
      <w:tr>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Pass</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Triples</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Percentage of Total</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Pass 1 (Exhaustive)</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391</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45.7%</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Pass 2 (Overlooked Scan)</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302</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35.3%</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Pass 3 (Gap-Filling)</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162</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18.9%</w:t>
            </w:r>
          </w:p>
        </w:tc>
      </w:tr>
    </w:tbl>
    <w:p>
      <w:pPr>
        <w:keepNext w:val="0"/>
        <w:pageBreakBefore w:val="0"/>
        <w:spacing w:before="0" w:after="120" w:lineRule="auto" w:line="240"/>
        <w:jc w:val="both"/>
      </w:pPr>
    </w:p>
    <w:p>
      <w:pPr>
        <w:keepNext w:val="0"/>
        <w:pageBreakBefore w:val="0"/>
        <w:spacing w:before="40" w:after="240" w:lineRule="auto" w:line="240"/>
        <w:jc w:val="center"/>
      </w:pPr>
      <w:r>
        <w:rPr>
          <w:rFonts w:ascii="Times New Roman" w:hAnsi="Times New Roman"/>
          <w:b w:val="0"/>
          <w:i/>
          <w:sz w:val="20"/>
        </w:rPr>
        <w:t>Table 8: Per-pass contribution to total multi-pass triple yield.</w:t>
      </w:r>
    </w:p>
    <w:p>
      <w:pPr>
        <w:keepNext w:val="0"/>
        <w:pageBreakBefore w:val="0"/>
        <w:spacing w:before="0" w:after="160" w:lineRule="auto" w:line="360"/>
        <w:jc w:val="both"/>
      </w:pPr>
      <w:r>
        <w:rPr>
          <w:rFonts w:ascii="Times New Roman" w:hAnsi="Times New Roman"/>
          <w:b w:val="0"/>
          <w:i w:val="0"/>
          <w:sz w:val="24"/>
        </w:rPr>
        <w:t>Pass 1 contributes the largest single share (45.7%), confirming that it identifies the most prominent relationships. Critically, Pass 2 contributes 35.3% of total triples -- more than three-quarters of Pass 1's yield. This substantial contribution from the overlooked scan demonstrates that standard single-pass extraction systematically misses secondary and engineering-detail relationships that are explicitly mentioned in the abstract but receive less textual emphasis than the primary finding.</w:t>
      </w:r>
    </w:p>
    <w:p>
      <w:pPr>
        <w:keepNext w:val="0"/>
        <w:pageBreakBefore w:val="0"/>
        <w:spacing w:before="0" w:after="160" w:lineRule="auto" w:line="360"/>
        <w:jc w:val="both"/>
      </w:pPr>
      <w:r>
        <w:rPr>
          <w:rFonts w:ascii="Times New Roman" w:hAnsi="Times New Roman"/>
          <w:b w:val="0"/>
          <w:i w:val="0"/>
          <w:sz w:val="24"/>
        </w:rPr>
        <w:t>Pass 3's 18.9% contribution further increases coverage, capturing implied relationships and supporting context. The diminishing marginal contribution across passes (45.7% → 35.3% → 18.9%) is consistent with the expectation that each subsequent pass exhausts the remaining unextracted information.</w:t>
      </w:r>
    </w:p>
    <w:p>
      <w:pPr>
        <w:keepNext w:val="0"/>
        <w:pageBreakBefore w:val="0"/>
        <w:spacing w:before="0" w:after="160" w:lineRule="auto" w:line="360"/>
        <w:jc w:val="both"/>
      </w:pPr>
      <w:r>
        <w:rPr>
          <w:rFonts w:ascii="Times New Roman" w:hAnsi="Times New Roman"/>
          <w:b w:val="0"/>
          <w:i w:val="0"/>
          <w:sz w:val="24"/>
        </w:rPr>
        <w:t>The total multi-pass yield of 855 triples from 15 articles represents 2.7x the single-pass yield, indicating that the multi-pass investment (approximately 4x the LLM API calls) produces a disproportionate information gain. For literature mining applications where completeness is critical, this tradeoff strongly favors multi-pass processing.</w:t>
      </w:r>
    </w:p>
    <w:p>
      <w:pPr>
        <w:keepNext/>
        <w:pageBreakBefore w:val="0"/>
        <w:spacing w:before="240" w:after="120" w:lineRule="auto" w:line="240"/>
        <w:jc w:val="left"/>
      </w:pPr>
      <w:r>
        <w:rPr>
          <w:rFonts w:ascii="Times New Roman" w:hAnsi="Times New Roman"/>
          <w:b/>
          <w:i w:val="0"/>
          <w:sz w:val="24"/>
        </w:rPr>
        <w:t>6.5 System Output and Query Answering Examples</w:t>
      </w:r>
    </w:p>
    <w:p>
      <w:pPr>
        <w:keepNext w:val="0"/>
        <w:pageBreakBefore w:val="0"/>
        <w:spacing w:before="0" w:after="160" w:lineRule="auto" w:line="360"/>
        <w:jc w:val="both"/>
      </w:pPr>
      <w:r>
        <w:rPr>
          <w:rFonts w:ascii="Times New Roman" w:hAnsi="Times New Roman"/>
          <w:b w:val="0"/>
          <w:i w:val="0"/>
          <w:sz w:val="24"/>
        </w:rPr>
        <w:t>Extracted Triple Examples. For a single abstract (PMID: 20559754, "Strain-dependent carotenoid productions in metabolically engineered Escherichia coli"), the multi-pass extraction produced the typed triples shown in Table 9.</w:t>
      </w:r>
    </w:p>
    <w:tbl>
      <w:tblPr>
        <w:tblStyle w:val="TableGrid"/>
        <w:tblW w:type="auto" w:w="0"/>
        <w:tblLook w:firstColumn="1" w:firstRow="1" w:lastColumn="0" w:lastRow="0" w:noHBand="0" w:noVBand="1" w:val="04A0"/>
      </w:tblPr>
      <w:tblGrid>
        <w:gridCol w:w="2771"/>
        <w:gridCol w:w="2771"/>
        <w:gridCol w:w="2771"/>
      </w:tblGrid>
      <w:tr>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Subject</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Relation</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Object</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E. coli BW-CARO</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produces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beta-carotene</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E. coli BW-ASTA</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produces</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astaxanthin</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E. coli BW-CARO</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has_metric</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1.4 mg/g cdw</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crtEBIY operon</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integrated_in</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E. coli BW-CARO</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astaxanthin pathway</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activates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carotenoid diversification</w:t>
            </w:r>
          </w:p>
        </w:tc>
      </w:tr>
    </w:tbl>
    <w:p>
      <w:pPr>
        <w:keepNext w:val="0"/>
        <w:pageBreakBefore w:val="0"/>
        <w:spacing w:before="0" w:after="120" w:lineRule="auto" w:line="240"/>
        <w:jc w:val="both"/>
      </w:pPr>
    </w:p>
    <w:p>
      <w:pPr>
        <w:keepNext w:val="0"/>
        <w:pageBreakBefore w:val="0"/>
        <w:spacing w:before="40" w:after="240" w:lineRule="auto" w:line="240"/>
        <w:jc w:val="center"/>
      </w:pPr>
      <w:r>
        <w:rPr>
          <w:rFonts w:ascii="Times New Roman" w:hAnsi="Times New Roman"/>
          <w:b w:val="0"/>
          <w:i/>
          <w:sz w:val="20"/>
        </w:rPr>
        <w:t>Table 9: Typed triples extracted from a representative abstract (PMID: 20559754). Each triple carries the source PMID and paper title, enabling full citation traceability from graph edge to primary literature.</w:t>
      </w:r>
    </w:p>
    <w:p>
      <w:pPr>
        <w:keepNext w:val="0"/>
        <w:pageBreakBefore w:val="0"/>
        <w:spacing w:before="0" w:after="160" w:lineRule="auto" w:line="360"/>
        <w:jc w:val="both"/>
      </w:pPr>
      <w:r>
        <w:rPr>
          <w:rFonts w:ascii="Times New Roman" w:hAnsi="Times New Roman"/>
          <w:b w:val="0"/>
          <w:i w:val="0"/>
          <w:sz w:val="24"/>
        </w:rPr>
        <w:t>Structured Metric Data. The has_metric relation captures performance benchmarks across the full literature. Selected metric triples are listed in Table 10.</w:t>
      </w:r>
    </w:p>
    <w:tbl>
      <w:tblPr>
        <w:tblStyle w:val="TableGrid"/>
        <w:tblW w:type="auto" w:w="0"/>
        <w:tblLook w:firstColumn="1" w:firstRow="1" w:lastColumn="0" w:lastRow="0" w:noHBand="0" w:noVBand="1" w:val="04A0"/>
      </w:tblPr>
      <w:tblGrid>
        <w:gridCol w:w="2771"/>
        <w:gridCol w:w="2771"/>
        <w:gridCol w:w="2771"/>
      </w:tblGrid>
      <w:tr>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Entity</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Metric Value</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Source PMID</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astaxanthin titer</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225 mg/L</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20711573</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beta-carotene titer</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107.22 mg/L</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18633963</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Yarrowia lipolytica yield</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142 mg/L</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34983533</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vitamin E yield</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30.1 mg/L</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18633963</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lutein content</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10 g/kg dry weight</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20811803</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hydroxylase overexpression</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11.3-fold increase</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31193511</w:t>
            </w:r>
          </w:p>
        </w:tc>
      </w:tr>
    </w:tbl>
    <w:p>
      <w:pPr>
        <w:keepNext w:val="0"/>
        <w:pageBreakBefore w:val="0"/>
        <w:spacing w:before="0" w:after="120" w:lineRule="auto" w:line="240"/>
        <w:jc w:val="both"/>
      </w:pPr>
    </w:p>
    <w:p>
      <w:pPr>
        <w:keepNext w:val="0"/>
        <w:pageBreakBefore w:val="0"/>
        <w:spacing w:before="40" w:after="240" w:lineRule="auto" w:line="240"/>
        <w:jc w:val="center"/>
      </w:pPr>
      <w:r>
        <w:rPr>
          <w:rFonts w:ascii="Times New Roman" w:hAnsi="Times New Roman"/>
          <w:b w:val="0"/>
          <w:i/>
          <w:sz w:val="20"/>
        </w:rPr>
        <w:t>Table 10: Selected has_metric triples capturing quantitative production benchmarks from the knowledge graph.</w:t>
      </w:r>
    </w:p>
    <w:p>
      <w:pPr>
        <w:keepNext w:val="0"/>
        <w:pageBreakBefore w:val="0"/>
        <w:spacing w:before="0" w:after="160" w:lineRule="auto" w:line="360"/>
        <w:jc w:val="both"/>
      </w:pPr>
      <w:r>
        <w:rPr>
          <w:rFonts w:ascii="Times New Roman" w:hAnsi="Times New Roman"/>
          <w:b w:val="0"/>
          <w:i w:val="0"/>
          <w:sz w:val="24"/>
        </w:rPr>
        <w:t>Semantic Search Results. When queried with "How can we increase beta-carotene production?", the semantic search retrieved the 50 most relevant triples. The top 10 by cosine similarity score are presented in Table 11.</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414"/>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Rank</w:t>
            </w:r>
          </w:p>
        </w:tc>
        <w:tc>
          <w:tcPr>
            <w:tcW w:type="dxa" w:w="1414"/>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Score</w:t>
            </w:r>
          </w:p>
        </w:tc>
        <w:tc>
          <w:tcPr>
            <w:tcW w:type="dxa" w:w="1414"/>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Subject</w:t>
            </w:r>
          </w:p>
        </w:tc>
        <w:tc>
          <w:tcPr>
            <w:tcW w:type="dxa" w:w="1414"/>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Relation</w:t>
            </w:r>
          </w:p>
        </w:tc>
        <w:tc>
          <w:tcPr>
            <w:tcW w:type="dxa" w:w="1414"/>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Object</w:t>
            </w:r>
          </w:p>
        </w:tc>
        <w:tc>
          <w:tcPr>
            <w:tcW w:type="dxa" w:w="1414"/>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PMID</w:t>
            </w:r>
          </w:p>
        </w:tc>
      </w:tr>
      <w:tr>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0.871</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beta-carotene production</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increased</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35102143</w:t>
            </w:r>
          </w:p>
        </w:tc>
      </w:tr>
      <w:tr>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2</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0.861</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new strategies</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increases</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beta-carotene production</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38607448</w:t>
            </w:r>
          </w:p>
        </w:tc>
      </w:tr>
      <w:tr>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0.851</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inexpensive carbon sources</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enhance</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beta-carotene production</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38607448</w:t>
            </w:r>
          </w:p>
        </w:tc>
      </w:tr>
      <w:tr>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4</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0.833</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beta-carotene production</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depends on</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culture conditions</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33151382</w:t>
            </w:r>
          </w:p>
        </w:tc>
      </w:tr>
      <w:tr>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5</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0.805</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metabolic engineering</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improves</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beta-carotene production</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38607448</w:t>
            </w:r>
          </w:p>
        </w:tc>
      </w:tr>
      <w:tr>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6</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0.789</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research study</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increases</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beta-carotene production</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35419827</w:t>
            </w:r>
          </w:p>
        </w:tc>
      </w:tr>
      <w:tr>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7</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0.782</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beta-carotene production</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reaches</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142 mg/L</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34983533</w:t>
            </w:r>
          </w:p>
        </w:tc>
      </w:tr>
      <w:tr>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8</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0.773</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beta-carotene production</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has_metric</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11.3-fold increase</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31193511</w:t>
            </w:r>
          </w:p>
        </w:tc>
      </w:tr>
      <w:tr>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9</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0.771</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carbon sources</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affect</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beta-carotene production</w:t>
            </w:r>
          </w:p>
        </w:tc>
        <w:tc>
          <w:tcPr>
            <w:tcW w:type="dxa" w:w="1414"/>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38607448</w:t>
            </w:r>
          </w:p>
        </w:tc>
      </w:tr>
      <w:tr>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10</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0.761</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optimized medium</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increases</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beta-carotene production</w:t>
            </w:r>
          </w:p>
        </w:tc>
        <w:tc>
          <w:tcPr>
            <w:tcW w:type="dxa" w:w="1414"/>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31193511</w:t>
            </w:r>
          </w:p>
        </w:tc>
      </w:tr>
    </w:tbl>
    <w:p>
      <w:pPr>
        <w:keepNext w:val="0"/>
        <w:pageBreakBefore w:val="0"/>
        <w:spacing w:before="0" w:after="120" w:lineRule="auto" w:line="240"/>
        <w:jc w:val="both"/>
      </w:pPr>
    </w:p>
    <w:p>
      <w:pPr>
        <w:keepNext w:val="0"/>
        <w:pageBreakBefore w:val="0"/>
        <w:spacing w:before="40" w:after="240" w:lineRule="auto" w:line="240"/>
        <w:jc w:val="center"/>
      </w:pPr>
      <w:r>
        <w:rPr>
          <w:rFonts w:ascii="Times New Roman" w:hAnsi="Times New Roman"/>
          <w:b w:val="0"/>
          <w:i/>
          <w:sz w:val="20"/>
        </w:rPr>
        <w:t>Table 11: Top-10 triples retrieved by semantic search for the query "How can we increase beta-carotene production?" ranked by cosine similarity score.</w:t>
      </w:r>
    </w:p>
    <w:p>
      <w:pPr>
        <w:keepNext w:val="0"/>
        <w:pageBreakBefore w:val="0"/>
        <w:spacing w:before="0" w:after="160" w:lineRule="auto" w:line="360"/>
        <w:jc w:val="both"/>
      </w:pPr>
      <w:r>
        <w:rPr>
          <w:rFonts w:ascii="Times New Roman" w:hAnsi="Times New Roman"/>
          <w:b w:val="0"/>
          <w:i w:val="0"/>
          <w:sz w:val="24"/>
        </w:rPr>
        <w:t>The 50 retrieved results span 23 unique source papers with 13 distinct relation types, providing comprehensive multi-paper evidence for answer synthesis.</w:t>
      </w:r>
    </w:p>
    <w:p>
      <w:pPr>
        <w:keepNext w:val="0"/>
        <w:pageBreakBefore w:val="0"/>
        <w:spacing w:before="0" w:after="160" w:lineRule="auto" w:line="360"/>
        <w:jc w:val="both"/>
      </w:pPr>
      <w:r>
        <w:rPr>
          <w:rFonts w:ascii="Times New Roman" w:hAnsi="Times New Roman"/>
          <w:b/>
          <w:i w:val="0"/>
          <w:sz w:val="24"/>
        </w:rPr>
        <w:t>Full Generated Answer.</w:t>
      </w:r>
      <w:r>
        <w:rPr>
          <w:rFonts w:ascii="Times New Roman" w:hAnsi="Times New Roman"/>
          <w:b w:val="0"/>
          <w:i w:val="0"/>
          <w:sz w:val="24"/>
        </w:rPr>
        <w:t xml:space="preserve"> From the 50 retrieved triples, KGMiner's anti-hallucination protocol produced the following structured answer:</w:t>
      </w:r>
    </w:p>
    <w:p>
      <w:pPr>
        <w:keepNext w:val="0"/>
        <w:pageBreakBefore w:val="0"/>
        <w:spacing w:before="0" w:after="160" w:lineRule="auto" w:line="360"/>
        <w:jc w:val="both"/>
      </w:pPr>
      <w:r>
        <w:rPr>
          <w:rFonts w:ascii="Times New Roman" w:hAnsi="Times New Roman"/>
          <w:b/>
          <w:i w:val="0"/>
          <w:sz w:val="24"/>
        </w:rPr>
        <w:t>Metabolic Engineering:</w:t>
      </w:r>
      <w:r>
        <w:rPr>
          <w:rFonts w:ascii="Times New Roman" w:hAnsi="Times New Roman"/>
          <w:b w:val="0"/>
          <w:i w:val="0"/>
          <w:sz w:val="24"/>
        </w:rPr>
        <w:t xml:space="preserve"> Overexpression of all-trans-beta-carotene hydroxylase leads to an 11.3-fold increase in beta-carotene (PMID: 31193511). Peroxisomal targeting of key enzymes enhances flux by compartmentalizing intermediates. Multi-objective optimization identified specific gene deletions that redirect metabolic flux, yielding 107.3% increase over the wild-type strain.</w:t>
      </w:r>
    </w:p>
    <w:p>
      <w:pPr>
        <w:keepNext w:val="0"/>
        <w:pageBreakBefore w:val="0"/>
        <w:spacing w:before="0" w:after="160" w:lineRule="auto" w:line="360"/>
        <w:jc w:val="both"/>
      </w:pPr>
      <w:r>
        <w:rPr>
          <w:rFonts w:ascii="Times New Roman" w:hAnsi="Times New Roman"/>
          <w:b/>
          <w:i w:val="0"/>
          <w:sz w:val="24"/>
        </w:rPr>
        <w:t>Culture Medium Optimization:</w:t>
      </w:r>
      <w:r>
        <w:rPr>
          <w:rFonts w:ascii="Times New Roman" w:hAnsi="Times New Roman"/>
          <w:b w:val="0"/>
          <w:i w:val="0"/>
          <w:sz w:val="24"/>
        </w:rPr>
        <w:t xml:space="preserve"> Inexpensive carbon sources (glucose, peptone) significantly increase production, with the graph reporting 107.22 mg/L yield (PMID: 18633963). Nitrogen-source concentration tuning and peptone addition improve biomass and pigment synthesis. Optimal pH and temperature (30°C) reduce oxidative stress (78.9% decrease in H2O2).</w:t>
      </w:r>
    </w:p>
    <w:p>
      <w:pPr>
        <w:keepNext w:val="0"/>
        <w:pageBreakBefore w:val="0"/>
        <w:spacing w:before="0" w:after="160" w:lineRule="auto" w:line="360"/>
        <w:jc w:val="both"/>
      </w:pPr>
      <w:r>
        <w:rPr>
          <w:rFonts w:ascii="Times New Roman" w:hAnsi="Times New Roman"/>
          <w:b/>
          <w:i w:val="0"/>
          <w:sz w:val="24"/>
        </w:rPr>
        <w:t>Host-Specific Strategies:</w:t>
      </w:r>
      <w:r>
        <w:rPr>
          <w:rFonts w:ascii="Times New Roman" w:hAnsi="Times New Roman"/>
          <w:b w:val="0"/>
          <w:i w:val="0"/>
          <w:sz w:val="24"/>
        </w:rPr>
        <w:t xml:space="preserve"> Yarrowia lipolytica and Mucor wosnessenskii are highlighted as high-yield hosts (142 mg/L highest reported, PMID: 34983533). Halophiles and E. coli also contribute to production platform diversity.</w:t>
      </w:r>
    </w:p>
    <w:p>
      <w:pPr>
        <w:keepNext w:val="0"/>
        <w:pageBreakBefore w:val="0"/>
        <w:spacing w:before="0" w:after="160" w:lineRule="auto" w:line="360"/>
        <w:jc w:val="both"/>
      </w:pPr>
      <w:r>
        <w:rPr>
          <w:rFonts w:ascii="Times New Roman" w:hAnsi="Times New Roman"/>
          <w:b w:val="0"/>
          <w:i w:val="0"/>
          <w:sz w:val="24"/>
        </w:rPr>
        <w:t>Key Quantitative Findings (Table 12):</w:t>
      </w:r>
    </w:p>
    <w:tbl>
      <w:tblPr>
        <w:tblStyle w:val="TableGrid"/>
        <w:tblW w:type="auto" w:w="0"/>
        <w:tblLook w:firstColumn="1" w:firstRow="1" w:lastColumn="0" w:lastRow="0" w:noHBand="0" w:noVBand="1" w:val="04A0"/>
      </w:tblPr>
      <w:tblGrid>
        <w:gridCol w:w="4156"/>
        <w:gridCol w:w="4156"/>
      </w:tblGrid>
      <w:tr>
        <w:tc>
          <w:tcPr>
            <w:tcW w:type="dxa" w:w="4241"/>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Finding</w:t>
            </w:r>
          </w:p>
        </w:tc>
        <w:tc>
          <w:tcPr>
            <w:tcW w:type="dxa" w:w="4241"/>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Impact</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11.3-fold increase via hydroxylase overexpression</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Major productivity jump</w:t>
            </w:r>
          </w:p>
        </w:tc>
      </w:tr>
      <w:tr>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107.3% increase through targeted gene deletions</w:t>
            </w:r>
          </w:p>
        </w:tc>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Significant metabolic rewiring</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78.9% reduction in H2O2</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Improved cell viability</w:t>
            </w:r>
          </w:p>
        </w:tc>
      </w:tr>
      <w:tr>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142 mg/L highest reported yield</w:t>
            </w:r>
          </w:p>
        </w:tc>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Proof-of-concept for commercial scale</w:t>
            </w:r>
          </w:p>
        </w:tc>
      </w:tr>
    </w:tbl>
    <w:p>
      <w:pPr>
        <w:keepNext w:val="0"/>
        <w:pageBreakBefore w:val="0"/>
        <w:spacing w:before="0" w:after="120" w:lineRule="auto" w:line="240"/>
        <w:jc w:val="both"/>
      </w:pPr>
    </w:p>
    <w:p>
      <w:pPr>
        <w:keepNext w:val="0"/>
        <w:pageBreakBefore w:val="0"/>
        <w:spacing w:before="40" w:after="240" w:lineRule="auto" w:line="240"/>
        <w:jc w:val="center"/>
      </w:pPr>
      <w:r>
        <w:rPr>
          <w:rFonts w:ascii="Times New Roman" w:hAnsi="Times New Roman"/>
          <w:b w:val="0"/>
          <w:i/>
          <w:sz w:val="20"/>
        </w:rPr>
        <w:t>Table 12: Key quantitative findings from the KGMiner generated answer, all traceable to specific extracted triples and source PMIDs.</w:t>
      </w:r>
    </w:p>
    <w:p>
      <w:pPr>
        <w:keepNext w:val="0"/>
        <w:pageBreakBefore w:val="0"/>
        <w:spacing w:before="0" w:after="160" w:lineRule="auto" w:line="360"/>
        <w:jc w:val="both"/>
      </w:pPr>
      <w:r>
        <w:rPr>
          <w:rFonts w:ascii="Times New Roman" w:hAnsi="Times New Roman"/>
          <w:b w:val="0"/>
          <w:i w:val="0"/>
          <w:sz w:val="24"/>
        </w:rPr>
        <w:t>Every metric in this answer is traceable to a specific PMID. The LLM's background knowledge about carotenoid biosynthesis is not incorporated: if a relationship was not extracted from the 226 processed papers, it does not appear in the answer. A summary of KGMiner's query answering capabilities is provided in Figure 7.</w:t>
      </w:r>
    </w:p>
    <w:p>
      <w:pPr>
        <w:keepNext w:val="0"/>
        <w:pageBreakBefore w:val="0"/>
        <w:spacing w:before="120" w:after="80" w:lineRule="auto" w:line="240"/>
        <w:jc w:val="center"/>
      </w:pPr>
      <w:r>
        <w:drawing>
          <wp:inline xmlns:a="http://schemas.openxmlformats.org/drawingml/2006/main" xmlns:pic="http://schemas.openxmlformats.org/drawingml/2006/picture">
            <wp:extent cx="4860000" cy="1993951"/>
            <wp:docPr id="8" name="Picture 8"/>
            <wp:cNvGraphicFramePr>
              <a:graphicFrameLocks noChangeAspect="1"/>
            </wp:cNvGraphicFramePr>
            <a:graphic>
              <a:graphicData uri="http://schemas.openxmlformats.org/drawingml/2006/picture">
                <pic:pic>
                  <pic:nvPicPr>
                    <pic:cNvPr id="0" name="fig6_query_capabilities.png"/>
                    <pic:cNvPicPr/>
                  </pic:nvPicPr>
                  <pic:blipFill>
                    <a:blip r:embed="rId17"/>
                    <a:stretch>
                      <a:fillRect/>
                    </a:stretch>
                  </pic:blipFill>
                  <pic:spPr>
                    <a:xfrm>
                      <a:off x="0" y="0"/>
                      <a:ext cx="4860000" cy="1993951"/>
                    </a:xfrm>
                    <a:prstGeom prst="rect"/>
                  </pic:spPr>
                </pic:pic>
              </a:graphicData>
            </a:graphic>
          </wp:inline>
        </w:drawing>
      </w:r>
    </w:p>
    <w:p>
      <w:pPr>
        <w:keepNext w:val="0"/>
        <w:pageBreakBefore w:val="0"/>
        <w:spacing w:before="40" w:after="240" w:lineRule="auto" w:line="240"/>
        <w:jc w:val="center"/>
      </w:pPr>
      <w:r>
        <w:rPr>
          <w:rFonts w:ascii="Times New Roman" w:hAnsi="Times New Roman"/>
          <w:b w:val="0"/>
          <w:i/>
          <w:sz w:val="20"/>
        </w:rPr>
        <w:t>Figure 7: KGMiner query answering capabilities showing typed relation extraction, structured metric capture, PMID citation tracing, and anti-hallucination protocol features.</w:t>
      </w:r>
    </w:p>
    <w:p>
      <w:pPr>
        <w:keepNext/>
        <w:pageBreakBefore w:val="0"/>
        <w:spacing w:before="240" w:after="120" w:lineRule="auto" w:line="240"/>
        <w:jc w:val="left"/>
      </w:pPr>
      <w:r>
        <w:rPr>
          <w:rFonts w:ascii="Times New Roman" w:hAnsi="Times New Roman"/>
          <w:b/>
          <w:i w:val="0"/>
          <w:sz w:val="24"/>
        </w:rPr>
        <w:t>6.6 Comparison: NEKO Implementation vs. KGMiner</w:t>
      </w:r>
    </w:p>
    <w:p>
      <w:pPr>
        <w:keepNext w:val="0"/>
        <w:pageBreakBefore w:val="0"/>
        <w:spacing w:before="0" w:after="160" w:lineRule="auto" w:line="360"/>
        <w:jc w:val="both"/>
      </w:pPr>
      <w:r>
        <w:rPr>
          <w:rFonts w:ascii="Times New Roman" w:hAnsi="Times New Roman"/>
          <w:b w:val="0"/>
          <w:i w:val="0"/>
          <w:sz w:val="24"/>
        </w:rPr>
        <w:t>Table 13 provides a direct feature-by-feature comparison between the prior NEKO-based implementation and KGMiner across all pipeline stages.</w:t>
      </w:r>
    </w:p>
    <w:tbl>
      <w:tblPr>
        <w:tblStyle w:val="TableGrid"/>
        <w:tblW w:type="auto" w:w="0"/>
        <w:tblLook w:firstColumn="1" w:firstRow="1" w:lastColumn="0" w:lastRow="0" w:noHBand="0" w:noVBand="1" w:val="04A0"/>
      </w:tblPr>
      <w:tblGrid>
        <w:gridCol w:w="2771"/>
        <w:gridCol w:w="2771"/>
        <w:gridCol w:w="2771"/>
      </w:tblGrid>
      <w:tr>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Feature / Component</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NEKO Implementation</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KGMiner</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Input</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Manual PubMed keyword queries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Natural language research goal (auto-decomposed)</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Query Generation</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Manual (user-specified)</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Automated (LLM decomposes goal to 3 queries)</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Data Sources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PubMed + arXiv + PDFs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PubMed only (Entrez API with batching and retry)</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Abstracts Processed</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1,088 (Rhodococcus case)</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226 (beta-carotene case, filtered from 228)</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Relation Types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Untyped (any predicate string)</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13-relation controlled vocabulary</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Extraction Passes</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Single pass</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 extraction passes + 1 validation pass</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Triples (ablation, 15 articles)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~316 (estimated single-pass)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855 (confirmed multi-pass)</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Recall Improvement</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Baseline</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+170.6%</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Entity Deduplication Threshold</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Cosine similarity &gt; 0.80</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Cosine similarity &gt; 0.85</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Canonical Entity Selection</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First-seen</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Longest (most descriptive) name</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Transitive Chain Resolution</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No</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Yes (A→B→C resolved to A→C, B→C)</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Relation Normalization</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No</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Yes (41 synonyms → 13 canonical types)</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Metric Data Handling</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Embedded in entity names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Structured has_metric triples (598 extracted)</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Graph Structure</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Undirected</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Directed multigraph with typed edges</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Query Interface</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Keyword-based graph traversal</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Semantic search over triple embeddings</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Query Hallucination Risk</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Moderate (ungrounded synthesis)</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Low (anti-hallucination protocol, PMID tracing)</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Answer Format</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Text summary</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Structured report with quantitative metrics + citations</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LLM Infrastructure</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Single provider</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Multi-provider (Groq + Cerebras, 13 models, failover)</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Deployment</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Local Python scripts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FastAPI web application</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Stability Metric</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None</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Jaccard stability score per article</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Entities Extracted</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180+ nodes (Rhodococcus)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2,996 normalized entities (beta-carotene)</w:t>
            </w:r>
          </w:p>
        </w:tc>
      </w:tr>
    </w:tbl>
    <w:p>
      <w:pPr>
        <w:keepNext w:val="0"/>
        <w:pageBreakBefore w:val="0"/>
        <w:spacing w:before="0" w:after="120" w:lineRule="auto" w:line="240"/>
        <w:jc w:val="both"/>
      </w:pPr>
    </w:p>
    <w:p>
      <w:pPr>
        <w:keepNext w:val="0"/>
        <w:pageBreakBefore w:val="0"/>
        <w:spacing w:before="40" w:after="240" w:lineRule="auto" w:line="240"/>
        <w:jc w:val="center"/>
      </w:pPr>
      <w:r>
        <w:rPr>
          <w:rFonts w:ascii="Times New Roman" w:hAnsi="Times New Roman"/>
          <w:b w:val="0"/>
          <w:i/>
          <w:sz w:val="20"/>
        </w:rPr>
        <w:t>Table 13: Feature-by-feature comparison of the prior NEKO-based pipeline and KGMiner across all pipeline stages.</w:t>
      </w:r>
    </w:p>
    <w:p>
      <w:pPr>
        <w:keepNext w:val="0"/>
        <w:pageBreakBefore w:val="0"/>
        <w:spacing w:before="0" w:after="160" w:lineRule="auto" w:line="360"/>
        <w:jc w:val="both"/>
      </w:pPr>
      <w:r>
        <w:rPr>
          <w:rFonts w:ascii="Times New Roman" w:hAnsi="Times New Roman"/>
          <w:b w:val="0"/>
          <w:i w:val="0"/>
          <w:sz w:val="24"/>
        </w:rPr>
        <w:t>The prior NEKO-based system demonstrated that LLM-based knowledge graph construction from PubMed is feasible. KGMiner addresses every structural limitation identified in that earlier work: relationship types are now explicitly captured; multi-pass extraction recovers the majority of relationships that single-pass misses; semantic queries enable natural language access; and evidence-grounding prevents hallucination in answer synthesis.</w:t>
      </w:r>
    </w:p>
    <w:p>
      <w:pPr>
        <w:keepNext/>
        <w:pageBreakBefore w:val="0"/>
        <w:spacing w:before="240" w:after="120" w:lineRule="auto" w:line="240"/>
        <w:jc w:val="left"/>
      </w:pPr>
      <w:r>
        <w:rPr>
          <w:rFonts w:ascii="Times New Roman" w:hAnsi="Times New Roman"/>
          <w:b/>
          <w:i w:val="0"/>
          <w:sz w:val="24"/>
        </w:rPr>
        <w:t>6.7 Query Output Comparison: NEKO-style vs. KGMiner</w:t>
      </w:r>
    </w:p>
    <w:p>
      <w:pPr>
        <w:keepNext w:val="0"/>
        <w:pageBreakBefore w:val="0"/>
        <w:spacing w:before="0" w:after="160" w:lineRule="auto" w:line="360"/>
        <w:jc w:val="both"/>
      </w:pPr>
      <w:r>
        <w:rPr>
          <w:rFonts w:ascii="Times New Roman" w:hAnsi="Times New Roman"/>
          <w:b w:val="0"/>
          <w:i w:val="0"/>
          <w:sz w:val="24"/>
        </w:rPr>
        <w:t>To concretely demonstrate the output quality difference, actual system responses to a natural language query on the beta-carotene domain are presented below. The NEKO-style output reflects keyword-based graph traversal and unstructured synthesis; the KGMiner output is the verbatim response produced by the system during this study. A side-by-side summary of output quality criteria is provided in Table 14.</w:t>
      </w:r>
    </w:p>
    <w:p>
      <w:pPr>
        <w:keepNext w:val="0"/>
        <w:pageBreakBefore w:val="0"/>
        <w:spacing w:before="0" w:after="160" w:lineRule="auto" w:line="360"/>
        <w:jc w:val="both"/>
      </w:pPr>
      <w:r>
        <w:rPr>
          <w:rFonts w:ascii="Times New Roman" w:hAnsi="Times New Roman"/>
          <w:b w:val="0"/>
          <w:i w:val="0"/>
          <w:sz w:val="24"/>
        </w:rPr>
        <w:t>Query: "How we can increase beta carotene production"</w:t>
      </w:r>
    </w:p>
    <w:p>
      <w:pPr>
        <w:keepNext/>
        <w:pageBreakBefore w:val="0"/>
        <w:spacing w:before="240" w:after="120" w:lineRule="auto" w:line="240"/>
        <w:jc w:val="left"/>
      </w:pPr>
      <w:r>
        <w:rPr>
          <w:rFonts w:ascii="Times New Roman" w:hAnsi="Times New Roman"/>
          <w:b/>
          <w:i w:val="0"/>
          <w:sz w:val="24"/>
        </w:rPr>
        <w:t>NEKO-Style Output (Keyword-Based, Untyped, No Citations)</w:t>
      </w:r>
    </w:p>
    <w:p>
      <w:pPr>
        <w:keepNext w:val="0"/>
        <w:pageBreakBefore w:val="0"/>
        <w:spacing w:before="0" w:after="160" w:lineRule="auto" w:line="360"/>
        <w:jc w:val="both"/>
      </w:pPr>
      <w:r>
        <w:rPr>
          <w:rFonts w:ascii="Times New Roman" w:hAnsi="Times New Roman"/>
          <w:b w:val="0"/>
          <w:i w:val="0"/>
          <w:sz w:val="24"/>
        </w:rPr>
        <w:t>In the prior NEKO-based system, the user submits a keyword ("beta-carotene") and the system returns connected entity names from the graph without relation types. The LLM then synthesizes a general text summary. A representative output would be:</w:t>
      </w:r>
    </w:p>
    <w:p>
      <w:pPr>
        <w:keepNext w:val="0"/>
        <w:pageBreakBefore w:val="0"/>
        <w:spacing w:before="0" w:after="80" w:lineRule="auto" w:line="360"/>
        <w:ind w:left="480"/>
        <w:jc w:val="both"/>
      </w:pPr>
      <w:r>
        <w:rPr>
          <w:rFonts w:ascii="Times New Roman" w:hAnsi="Times New Roman"/>
          <w:b/>
          <w:i/>
          <w:sz w:val="24"/>
        </w:rPr>
        <w:t>Entities Connected to "beta-carotene" in Graph:</w:t>
      </w:r>
    </w:p>
    <w:p>
      <w:pPr>
        <w:keepNext w:val="0"/>
        <w:pageBreakBefore w:val="0"/>
        <w:spacing w:before="0" w:after="80" w:lineRule="auto" w:line="360"/>
        <w:ind w:left="480"/>
        <w:jc w:val="both"/>
      </w:pPr>
      <w:r>
        <w:rPr>
          <w:rFonts w:ascii="Times New Roman" w:hAnsi="Times New Roman"/>
          <w:b w:val="0"/>
          <w:i/>
          <w:sz w:val="24"/>
        </w:rPr>
        <w:t>Yarrowia lipolytica, Escherichia coli, metabolic engineering, carotenoid pathway, crtYB gene, lycopene, IPP, MVA pathway, culture conditions, carbon source, glucose, nitrogen source, fermentation, bioreactor, Saccharomyces cerevisiae.</w:t>
      </w:r>
    </w:p>
    <w:p>
      <w:pPr>
        <w:keepNext w:val="0"/>
        <w:pageBreakBefore w:val="0"/>
        <w:spacing w:before="0" w:after="80" w:lineRule="auto" w:line="360"/>
        <w:ind w:left="480"/>
        <w:jc w:val="both"/>
      </w:pPr>
    </w:p>
    <w:p>
      <w:pPr>
        <w:keepNext w:val="0"/>
        <w:pageBreakBefore w:val="0"/>
        <w:spacing w:before="0" w:after="80" w:lineRule="auto" w:line="360"/>
        <w:ind w:left="480"/>
        <w:jc w:val="both"/>
      </w:pPr>
      <w:r>
        <w:rPr>
          <w:rFonts w:ascii="Times New Roman" w:hAnsi="Times New Roman"/>
          <w:b/>
          <w:i/>
          <w:sz w:val="24"/>
        </w:rPr>
        <w:t>Summary:</w:t>
      </w:r>
    </w:p>
    <w:p>
      <w:pPr>
        <w:keepNext w:val="0"/>
        <w:pageBreakBefore w:val="0"/>
        <w:spacing w:before="0" w:after="80" w:lineRule="auto" w:line="360"/>
        <w:ind w:left="480"/>
        <w:jc w:val="both"/>
      </w:pPr>
      <w:r>
        <w:rPr>
          <w:rFonts w:ascii="Times New Roman" w:hAnsi="Times New Roman"/>
          <w:b w:val="0"/>
          <w:i/>
          <w:sz w:val="24"/>
        </w:rPr>
        <w:t>Beta-carotene production involves carotenoid pathway engineering in organisms such as Yarrowia lipolytica and Escherichia coli. Metabolic engineering strategies including pathway overexpression and carbon source optimization have been reported. The crtYB gene is associated with carotenoid biosynthesis. Culture conditions including glucose and nitrogen sources affect production levels. Further studies are needed to optimize these parameters for industrial-scale applications.</w:t>
      </w:r>
    </w:p>
    <w:p>
      <w:pPr>
        <w:keepNext w:val="0"/>
        <w:pageBreakBefore w:val="0"/>
        <w:spacing w:before="0" w:after="160" w:lineRule="auto" w:line="360"/>
        <w:jc w:val="both"/>
      </w:pPr>
      <w:r>
        <w:rPr>
          <w:rFonts w:ascii="Times New Roman" w:hAnsi="Times New Roman"/>
          <w:b w:val="0"/>
          <w:i w:val="0"/>
          <w:sz w:val="24"/>
        </w:rPr>
        <w:t>Limitations of this output: no relation types; no citations; no specific yield values; requires exact keyword; no mechanism details.</w:t>
      </w:r>
    </w:p>
    <w:p>
      <w:pPr>
        <w:keepNext w:val="0"/>
        <w:pageBreakBefore w:val="0"/>
        <w:spacing w:before="120" w:after="120" w:lineRule="auto" w:line="240"/>
        <w:jc w:val="both"/>
        <w:pBdr>
          <w:bottom w:val="single" w:sz="6" w:space="1" w:color="777777"/>
        </w:pBdr>
      </w:pPr>
    </w:p>
    <w:p>
      <w:pPr>
        <w:keepNext/>
        <w:pageBreakBefore w:val="0"/>
        <w:spacing w:before="240" w:after="120" w:lineRule="auto" w:line="240"/>
        <w:jc w:val="left"/>
      </w:pPr>
      <w:r>
        <w:rPr>
          <w:rFonts w:ascii="Times New Roman" w:hAnsi="Times New Roman"/>
          <w:b/>
          <w:i w:val="0"/>
          <w:sz w:val="24"/>
        </w:rPr>
        <w:t>KGMiner Exact Output (Verbatim System Response)</w:t>
      </w:r>
    </w:p>
    <w:p>
      <w:pPr>
        <w:keepNext w:val="0"/>
        <w:pageBreakBefore w:val="0"/>
        <w:spacing w:before="0" w:after="160" w:lineRule="auto" w:line="360"/>
        <w:jc w:val="both"/>
      </w:pPr>
      <w:r>
        <w:rPr>
          <w:rFonts w:ascii="Times New Roman" w:hAnsi="Times New Roman"/>
          <w:b w:val="0"/>
          <w:i w:val="0"/>
          <w:sz w:val="24"/>
        </w:rPr>
        <w:t>The following is the complete, unedited answer generated by KGMiner from the 2,996-entity knowledge graph (4,722 relationships) for the query "How we can increase beta carotene production":</w:t>
      </w:r>
    </w:p>
    <w:p>
      <w:pPr>
        <w:keepNext w:val="0"/>
        <w:pageBreakBefore w:val="0"/>
        <w:spacing w:before="120" w:after="120" w:lineRule="auto" w:line="240"/>
        <w:jc w:val="both"/>
        <w:pBdr>
          <w:bottom w:val="single" w:sz="6" w:space="1" w:color="777777"/>
        </w:pBdr>
      </w:pPr>
    </w:p>
    <w:p>
      <w:pPr>
        <w:keepNext w:val="0"/>
        <w:pageBreakBefore w:val="0"/>
        <w:spacing w:before="0" w:after="160" w:lineRule="auto" w:line="360"/>
        <w:jc w:val="both"/>
      </w:pPr>
      <w:r>
        <w:rPr>
          <w:rFonts w:ascii="Times New Roman" w:hAnsi="Times New Roman"/>
          <w:b/>
          <w:i w:val="0"/>
          <w:sz w:val="24"/>
        </w:rPr>
        <w:t>How to Increase beta-Carotene Production</w:t>
      </w:r>
    </w:p>
    <w:p>
      <w:pPr>
        <w:keepNext w:val="0"/>
        <w:pageBreakBefore w:val="0"/>
        <w:spacing w:before="40" w:after="240" w:lineRule="auto" w:line="240"/>
        <w:jc w:val="center"/>
      </w:pPr>
      <w:r>
        <w:rPr>
          <w:rFonts w:ascii="Times New Roman" w:hAnsi="Times New Roman"/>
          <w:b w:val="0"/>
          <w:i/>
          <w:sz w:val="20"/>
        </w:rPr>
        <w:t>A Summary Report Based on a 2,996-Entity Knowledge Graph</w:t>
      </w:r>
    </w:p>
    <w:p>
      <w:pPr>
        <w:keepNext w:val="0"/>
        <w:pageBreakBefore w:val="0"/>
        <w:spacing w:before="0" w:after="160" w:lineRule="auto" w:line="360"/>
        <w:jc w:val="both"/>
      </w:pPr>
      <w:r>
        <w:rPr>
          <w:rFonts w:ascii="Times New Roman" w:hAnsi="Times New Roman"/>
          <w:b/>
          <w:i w:val="0"/>
          <w:sz w:val="24"/>
        </w:rPr>
        <w:t>1. Introduction</w:t>
      </w:r>
    </w:p>
    <w:p>
      <w:pPr>
        <w:keepNext w:val="0"/>
        <w:pageBreakBefore w:val="0"/>
        <w:spacing w:before="0" w:after="160" w:lineRule="auto" w:line="360"/>
        <w:jc w:val="both"/>
      </w:pPr>
      <w:r>
        <w:rPr>
          <w:rFonts w:ascii="Times New Roman" w:hAnsi="Times New Roman"/>
          <w:b w:val="0"/>
          <w:i w:val="0"/>
          <w:sz w:val="24"/>
        </w:rPr>
        <w:t>beta-Carotene is a valuable pigment with applications in food, feed, cosmetics, and nutraceuticals. The knowledge graph (2,996 entities, 4,722 relationships) provides a rich set of experimental observations and engineering strategies that can be leveraged to boost beta-carotene yields in microbial hosts. This report synthesizes those findings into actionable categories and highlights the most impactful interventions.</w:t>
      </w:r>
    </w:p>
    <w:p>
      <w:pPr>
        <w:keepNext w:val="0"/>
        <w:pageBreakBefore w:val="0"/>
        <w:spacing w:before="0" w:after="160" w:lineRule="auto" w:line="360"/>
        <w:jc w:val="both"/>
      </w:pPr>
      <w:r>
        <w:rPr>
          <w:rFonts w:ascii="Times New Roman" w:hAnsi="Times New Roman"/>
          <w:b/>
          <w:i w:val="0"/>
          <w:sz w:val="24"/>
        </w:rPr>
        <w:t>2. Categorization of Findings</w:t>
      </w:r>
    </w:p>
    <w:tbl>
      <w:tblPr>
        <w:tblStyle w:val="TableGrid"/>
        <w:tblW w:type="auto" w:w="0"/>
        <w:tblLook w:firstColumn="1" w:firstRow="1" w:lastColumn="0" w:lastRow="0" w:noHBand="0" w:noVBand="1" w:val="04A0"/>
      </w:tblPr>
      <w:tblGrid>
        <w:gridCol w:w="2771"/>
        <w:gridCol w:w="2771"/>
        <w:gridCol w:w="2771"/>
      </w:tblGrid>
      <w:tr>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Category</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Representative Findings</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Typical Metrics</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Metabolic Engineering</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Overexpression of all-trans-beta-carotene hydroxylase; Peroxisomal targeting of key enzymes; Gene deletions via multi-objective optimisation</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11.3-fold increase; 107.3% over parent strain</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Culture Medium Optimization</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Inexpensive carbon sources (glucose, peptone); Nitrogen-source concentration tuning; pH adjustment</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107.22 mg/L; 11.4 mg/g DCW</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Process Parameters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Temperature control (30 degrees C vs. 37 degrees C); H2O2 content reduction (78.9% decrease)</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0.165 g/L/h specific productivity</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Statistical Design and Modeling</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Response Surface Methodology (RSM) for medium design</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11.4 mg/g DCW (optimized)</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Host-Specific Strategies</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Use of Yarrowia lipolytica, Mucor wosnessenskii, Halophiles, E. coli</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142 mg/L (highest reported in graph)</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Downstream and Application</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Integration into food patties, animal feed</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Demonstrates commercial relevance</w:t>
            </w:r>
          </w:p>
        </w:tc>
      </w:tr>
    </w:tbl>
    <w:p>
      <w:pPr>
        <w:keepNext w:val="0"/>
        <w:pageBreakBefore w:val="0"/>
        <w:spacing w:before="0" w:after="120" w:lineRule="auto" w:line="240"/>
        <w:jc w:val="both"/>
      </w:pPr>
    </w:p>
    <w:p>
      <w:pPr>
        <w:keepNext w:val="0"/>
        <w:pageBreakBefore w:val="0"/>
        <w:spacing w:before="0" w:after="160" w:lineRule="auto" w:line="360"/>
        <w:jc w:val="both"/>
      </w:pPr>
      <w:r>
        <w:rPr>
          <w:rFonts w:ascii="Times New Roman" w:hAnsi="Times New Roman"/>
          <w:b/>
          <w:i w:val="0"/>
          <w:sz w:val="24"/>
        </w:rPr>
        <w:t>3. Detailed Discussion</w:t>
      </w:r>
    </w:p>
    <w:p>
      <w:pPr>
        <w:keepNext w:val="0"/>
        <w:pageBreakBefore w:val="0"/>
        <w:spacing w:before="0" w:after="160" w:lineRule="auto" w:line="360"/>
        <w:jc w:val="both"/>
      </w:pPr>
      <w:r>
        <w:rPr>
          <w:rFonts w:ascii="Times New Roman" w:hAnsi="Times New Roman"/>
          <w:b/>
          <w:i w:val="0"/>
          <w:sz w:val="24"/>
        </w:rPr>
        <w:t>3.1 Metabolic Engineering</w:t>
      </w:r>
    </w:p>
    <w:p>
      <w:pPr>
        <w:keepNext w:val="0"/>
        <w:pageBreakBefore w:val="0"/>
        <w:spacing w:before="0" w:after="160" w:lineRule="auto" w:line="360"/>
        <w:jc w:val="both"/>
      </w:pPr>
      <w:r>
        <w:rPr>
          <w:rFonts w:ascii="Times New Roman" w:hAnsi="Times New Roman"/>
          <w:b/>
          <w:i w:val="0"/>
          <w:sz w:val="24"/>
        </w:rPr>
        <w:t>Enzyme Overexpression:</w:t>
      </w:r>
      <w:r>
        <w:rPr>
          <w:rFonts w:ascii="Times New Roman" w:hAnsi="Times New Roman"/>
          <w:b w:val="0"/>
          <w:i w:val="0"/>
          <w:sz w:val="24"/>
        </w:rPr>
        <w:t xml:space="preserve"> The graph indicates that overexpressing the all-trans-beta-carotene hydroxylase gene leads to an </w:t>
      </w:r>
      <w:r>
        <w:rPr>
          <w:rFonts w:ascii="Times New Roman" w:hAnsi="Times New Roman"/>
          <w:b/>
          <w:i w:val="0"/>
          <w:sz w:val="24"/>
        </w:rPr>
        <w:t>11.3-fold</w:t>
      </w:r>
      <w:r>
        <w:rPr>
          <w:rFonts w:ascii="Times New Roman" w:hAnsi="Times New Roman"/>
          <w:b w:val="0"/>
          <w:i w:val="0"/>
          <w:sz w:val="24"/>
        </w:rPr>
        <w:t xml:space="preserve"> increase in beta-carotene. This enzyme converts lycopene to beta-carotene, a rate-limiting step in many pathways.</w:t>
      </w:r>
    </w:p>
    <w:p>
      <w:pPr>
        <w:keepNext w:val="0"/>
        <w:pageBreakBefore w:val="0"/>
        <w:spacing w:before="0" w:after="160" w:lineRule="auto" w:line="360"/>
        <w:jc w:val="both"/>
      </w:pPr>
      <w:r>
        <w:rPr>
          <w:rFonts w:ascii="Times New Roman" w:hAnsi="Times New Roman"/>
          <w:b/>
          <w:i w:val="0"/>
          <w:sz w:val="24"/>
        </w:rPr>
        <w:t>Subcellular Targeting:</w:t>
      </w:r>
      <w:r>
        <w:rPr>
          <w:rFonts w:ascii="Times New Roman" w:hAnsi="Times New Roman"/>
          <w:b w:val="0"/>
          <w:i w:val="0"/>
          <w:sz w:val="24"/>
        </w:rPr>
        <w:t xml:space="preserve"> Targeting key enzymes to peroxisomes enhances flux by compartmentalizing intermediates and reducing feedback inhibition.</w:t>
      </w:r>
    </w:p>
    <w:p>
      <w:pPr>
        <w:keepNext w:val="0"/>
        <w:pageBreakBefore w:val="0"/>
        <w:spacing w:before="0" w:after="160" w:lineRule="auto" w:line="360"/>
        <w:jc w:val="both"/>
      </w:pPr>
      <w:r>
        <w:rPr>
          <w:rFonts w:ascii="Times New Roman" w:hAnsi="Times New Roman"/>
          <w:b/>
          <w:i w:val="0"/>
          <w:sz w:val="24"/>
        </w:rPr>
        <w:t>Gene Deletion and Optimization:</w:t>
      </w:r>
      <w:r>
        <w:rPr>
          <w:rFonts w:ascii="Times New Roman" w:hAnsi="Times New Roman"/>
          <w:b w:val="0"/>
          <w:i w:val="0"/>
          <w:sz w:val="24"/>
        </w:rPr>
        <w:t xml:space="preserve"> Multi-objective optimisation identified specific gene deletions that redirect metabolic flux toward the carotenoid pathway, yielding a </w:t>
      </w:r>
      <w:r>
        <w:rPr>
          <w:rFonts w:ascii="Times New Roman" w:hAnsi="Times New Roman"/>
          <w:b/>
          <w:i w:val="0"/>
          <w:sz w:val="24"/>
        </w:rPr>
        <w:t>107.3%</w:t>
      </w:r>
      <w:r>
        <w:rPr>
          <w:rFonts w:ascii="Times New Roman" w:hAnsi="Times New Roman"/>
          <w:b w:val="0"/>
          <w:i w:val="0"/>
          <w:sz w:val="24"/>
        </w:rPr>
        <w:t xml:space="preserve"> increase over the wild-type strain.</w:t>
      </w:r>
    </w:p>
    <w:p>
      <w:pPr>
        <w:keepNext w:val="0"/>
        <w:pageBreakBefore w:val="0"/>
        <w:spacing w:before="0" w:after="160" w:lineRule="auto" w:line="360"/>
        <w:jc w:val="both"/>
      </w:pPr>
      <w:r>
        <w:rPr>
          <w:rFonts w:ascii="Times New Roman" w:hAnsi="Times New Roman"/>
          <w:b/>
          <w:i w:val="0"/>
          <w:sz w:val="24"/>
        </w:rPr>
        <w:t>3.2 Medium Composition</w:t>
      </w:r>
    </w:p>
    <w:p>
      <w:pPr>
        <w:keepNext w:val="0"/>
        <w:pageBreakBefore w:val="0"/>
        <w:spacing w:before="0" w:after="160" w:lineRule="auto" w:line="360"/>
        <w:jc w:val="both"/>
      </w:pPr>
      <w:r>
        <w:rPr>
          <w:rFonts w:ascii="Times New Roman" w:hAnsi="Times New Roman"/>
          <w:b/>
          <w:i w:val="0"/>
          <w:sz w:val="24"/>
        </w:rPr>
        <w:t>Carbon Sources:</w:t>
      </w:r>
      <w:r>
        <w:rPr>
          <w:rFonts w:ascii="Times New Roman" w:hAnsi="Times New Roman"/>
          <w:b w:val="0"/>
          <w:i w:val="0"/>
          <w:sz w:val="24"/>
        </w:rPr>
        <w:t xml:space="preserve"> Inexpensive carbon sources such as glucose and peptone significantly increase production. The graph reports a </w:t>
      </w:r>
      <w:r>
        <w:rPr>
          <w:rFonts w:ascii="Times New Roman" w:hAnsi="Times New Roman"/>
          <w:b/>
          <w:i w:val="0"/>
          <w:sz w:val="24"/>
        </w:rPr>
        <w:t>107.22 mg/L</w:t>
      </w:r>
      <w:r>
        <w:rPr>
          <w:rFonts w:ascii="Times New Roman" w:hAnsi="Times New Roman"/>
          <w:b w:val="0"/>
          <w:i w:val="0"/>
          <w:sz w:val="24"/>
        </w:rPr>
        <w:t xml:space="preserve"> yield when glucose is used as the primary carbon source.</w:t>
      </w:r>
    </w:p>
    <w:p>
      <w:pPr>
        <w:keepNext w:val="0"/>
        <w:pageBreakBefore w:val="0"/>
        <w:spacing w:before="0" w:after="160" w:lineRule="auto" w:line="360"/>
        <w:jc w:val="both"/>
      </w:pPr>
      <w:r>
        <w:rPr>
          <w:rFonts w:ascii="Times New Roman" w:hAnsi="Times New Roman"/>
          <w:b/>
          <w:i w:val="0"/>
          <w:sz w:val="24"/>
        </w:rPr>
        <w:t>Nitrogen and Peptone:</w:t>
      </w:r>
      <w:r>
        <w:rPr>
          <w:rFonts w:ascii="Times New Roman" w:hAnsi="Times New Roman"/>
          <w:b w:val="0"/>
          <w:i w:val="0"/>
          <w:sz w:val="24"/>
        </w:rPr>
        <w:t xml:space="preserve"> Adjusting nitrogen-source concentration and adding peptone improves biomass and pigment synthesis, contributing to higher specific productivity (</w:t>
      </w:r>
      <w:r>
        <w:rPr>
          <w:rFonts w:ascii="Times New Roman" w:hAnsi="Times New Roman"/>
          <w:b/>
          <w:i w:val="0"/>
          <w:sz w:val="24"/>
        </w:rPr>
        <w:t>0.165 g/L/h</w:t>
      </w:r>
      <w:r>
        <w:rPr>
          <w:rFonts w:ascii="Times New Roman" w:hAnsi="Times New Roman"/>
          <w:b w:val="0"/>
          <w:i w:val="0"/>
          <w:sz w:val="24"/>
        </w:rPr>
        <w:t>).</w:t>
      </w:r>
    </w:p>
    <w:p>
      <w:pPr>
        <w:keepNext w:val="0"/>
        <w:pageBreakBefore w:val="0"/>
        <w:spacing w:before="0" w:after="160" w:lineRule="auto" w:line="360"/>
        <w:jc w:val="both"/>
      </w:pPr>
      <w:r>
        <w:rPr>
          <w:rFonts w:ascii="Times New Roman" w:hAnsi="Times New Roman"/>
          <w:b/>
          <w:i w:val="0"/>
          <w:sz w:val="24"/>
        </w:rPr>
        <w:t>pH and Temperature:</w:t>
      </w:r>
      <w:r>
        <w:rPr>
          <w:rFonts w:ascii="Times New Roman" w:hAnsi="Times New Roman"/>
          <w:b w:val="0"/>
          <w:i w:val="0"/>
          <w:sz w:val="24"/>
        </w:rPr>
        <w:t xml:space="preserve"> Optimal pH and temperature (30 degrees C) reduce oxidative stress (78.9% decrease in H2O2) and enhance enzyme activity.</w:t>
      </w:r>
    </w:p>
    <w:p>
      <w:pPr>
        <w:keepNext w:val="0"/>
        <w:pageBreakBefore w:val="0"/>
        <w:spacing w:before="0" w:after="160" w:lineRule="auto" w:line="360"/>
        <w:jc w:val="both"/>
      </w:pPr>
      <w:r>
        <w:rPr>
          <w:rFonts w:ascii="Times New Roman" w:hAnsi="Times New Roman"/>
          <w:b/>
          <w:i w:val="0"/>
          <w:sz w:val="24"/>
        </w:rPr>
        <w:t>3.3 Process Design</w:t>
      </w:r>
    </w:p>
    <w:p>
      <w:pPr>
        <w:keepNext w:val="0"/>
        <w:pageBreakBefore w:val="0"/>
        <w:spacing w:before="0" w:after="160" w:lineRule="auto" w:line="360"/>
        <w:jc w:val="both"/>
      </w:pPr>
      <w:r>
        <w:rPr>
          <w:rFonts w:ascii="Times New Roman" w:hAnsi="Times New Roman"/>
          <w:b/>
          <w:i w:val="0"/>
          <w:sz w:val="24"/>
        </w:rPr>
        <w:t>Response Surface Methodology (RSM):</w:t>
      </w:r>
      <w:r>
        <w:rPr>
          <w:rFonts w:ascii="Times New Roman" w:hAnsi="Times New Roman"/>
          <w:b w:val="0"/>
          <w:i w:val="0"/>
          <w:sz w:val="24"/>
        </w:rPr>
        <w:t xml:space="preserve"> RSM was used to fine-tune medium components, achieving </w:t>
      </w:r>
      <w:r>
        <w:rPr>
          <w:rFonts w:ascii="Times New Roman" w:hAnsi="Times New Roman"/>
          <w:b/>
          <w:i w:val="0"/>
          <w:sz w:val="24"/>
        </w:rPr>
        <w:t>11.4 mg/g DCW</w:t>
      </w:r>
      <w:r>
        <w:rPr>
          <w:rFonts w:ascii="Times New Roman" w:hAnsi="Times New Roman"/>
          <w:b w:val="0"/>
          <w:i w:val="0"/>
          <w:sz w:val="24"/>
        </w:rPr>
        <w:t>. This approach systematically explores interactions between variables, providing a robust design space.</w:t>
      </w:r>
    </w:p>
    <w:p>
      <w:pPr>
        <w:keepNext w:val="0"/>
        <w:pageBreakBefore w:val="0"/>
        <w:spacing w:before="0" w:after="160" w:lineRule="auto" w:line="360"/>
        <w:jc w:val="both"/>
      </w:pPr>
      <w:r>
        <w:rPr>
          <w:rFonts w:ascii="Times New Roman" w:hAnsi="Times New Roman"/>
          <w:b/>
          <w:i w:val="0"/>
          <w:sz w:val="24"/>
        </w:rPr>
        <w:t>Hydrogen Peroxide Management:</w:t>
      </w:r>
      <w:r>
        <w:rPr>
          <w:rFonts w:ascii="Times New Roman" w:hAnsi="Times New Roman"/>
          <w:b w:val="0"/>
          <w:i w:val="0"/>
          <w:sz w:val="24"/>
        </w:rPr>
        <w:t xml:space="preserve"> Lowering H2O2 levels mitigates oxidative damage to enzymes and cells, indirectly boosting carotenoid synthesis.</w:t>
      </w:r>
    </w:p>
    <w:p>
      <w:pPr>
        <w:keepNext w:val="0"/>
        <w:pageBreakBefore w:val="0"/>
        <w:spacing w:before="0" w:after="160" w:lineRule="auto" w:line="360"/>
        <w:jc w:val="both"/>
      </w:pPr>
      <w:r>
        <w:rPr>
          <w:rFonts w:ascii="Times New Roman" w:hAnsi="Times New Roman"/>
          <w:b/>
          <w:i w:val="0"/>
          <w:sz w:val="24"/>
        </w:rPr>
        <w:t>3.4 Host Selection</w:t>
      </w:r>
    </w:p>
    <w:p>
      <w:pPr>
        <w:keepNext w:val="0"/>
        <w:pageBreakBefore w:val="0"/>
        <w:spacing w:before="0" w:after="160" w:lineRule="auto" w:line="360"/>
        <w:jc w:val="both"/>
      </w:pPr>
      <w:r>
        <w:rPr>
          <w:rFonts w:ascii="Times New Roman" w:hAnsi="Times New Roman"/>
          <w:b w:val="0"/>
          <w:i/>
          <w:sz w:val="24"/>
        </w:rPr>
        <w:t>Yarrowia lipolytica</w:t>
      </w:r>
      <w:r>
        <w:rPr>
          <w:rFonts w:ascii="Times New Roman" w:hAnsi="Times New Roman"/>
          <w:b w:val="0"/>
          <w:i w:val="0"/>
          <w:sz w:val="24"/>
        </w:rPr>
        <w:t xml:space="preserve"> and </w:t>
      </w:r>
      <w:r>
        <w:rPr>
          <w:rFonts w:ascii="Times New Roman" w:hAnsi="Times New Roman"/>
          <w:b w:val="0"/>
          <w:i/>
          <w:sz w:val="24"/>
        </w:rPr>
        <w:t>Mucor wosnessenskii</w:t>
      </w:r>
      <w:r>
        <w:rPr>
          <w:rFonts w:ascii="Times New Roman" w:hAnsi="Times New Roman"/>
          <w:b w:val="0"/>
          <w:i w:val="0"/>
          <w:sz w:val="24"/>
        </w:rPr>
        <w:t xml:space="preserve"> are highlighted as high-yield hosts (</w:t>
      </w:r>
      <w:r>
        <w:rPr>
          <w:rFonts w:ascii="Times New Roman" w:hAnsi="Times New Roman"/>
          <w:b/>
          <w:i w:val="0"/>
          <w:sz w:val="24"/>
        </w:rPr>
        <w:t>142 mg/L</w:t>
      </w:r>
      <w:r>
        <w:rPr>
          <w:rFonts w:ascii="Times New Roman" w:hAnsi="Times New Roman"/>
          <w:b w:val="0"/>
          <w:i w:val="0"/>
          <w:sz w:val="24"/>
        </w:rPr>
        <w:t xml:space="preserve">). Halophiles and </w:t>
      </w:r>
      <w:r>
        <w:rPr>
          <w:rFonts w:ascii="Times New Roman" w:hAnsi="Times New Roman"/>
          <w:b w:val="0"/>
          <w:i/>
          <w:sz w:val="24"/>
        </w:rPr>
        <w:t>E. coli</w:t>
      </w:r>
      <w:r>
        <w:rPr>
          <w:rFonts w:ascii="Times New Roman" w:hAnsi="Times New Roman"/>
          <w:b w:val="0"/>
          <w:i w:val="0"/>
          <w:sz w:val="24"/>
        </w:rPr>
        <w:t xml:space="preserve"> also contribute to the diversity of production platforms.</w:t>
      </w:r>
    </w:p>
    <w:p>
      <w:pPr>
        <w:keepNext w:val="0"/>
        <w:pageBreakBefore w:val="0"/>
        <w:spacing w:before="0" w:after="160" w:lineRule="auto" w:line="360"/>
        <w:jc w:val="both"/>
      </w:pPr>
      <w:r>
        <w:rPr>
          <w:rFonts w:ascii="Times New Roman" w:hAnsi="Times New Roman"/>
          <w:b/>
          <w:i w:val="0"/>
          <w:sz w:val="24"/>
        </w:rPr>
        <w:t>4. Key Findings</w:t>
      </w:r>
    </w:p>
    <w:tbl>
      <w:tblPr>
        <w:tblStyle w:val="TableGrid"/>
        <w:tblW w:type="auto" w:w="0"/>
        <w:tblLook w:firstColumn="1" w:firstRow="1" w:lastColumn="0" w:lastRow="0" w:noHBand="0" w:noVBand="1" w:val="04A0"/>
      </w:tblPr>
      <w:tblGrid>
        <w:gridCol w:w="4156"/>
        <w:gridCol w:w="4156"/>
      </w:tblGrid>
      <w:tr>
        <w:tc>
          <w:tcPr>
            <w:tcW w:type="dxa" w:w="4241"/>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Finding</w:t>
            </w:r>
          </w:p>
        </w:tc>
        <w:tc>
          <w:tcPr>
            <w:tcW w:type="dxa" w:w="4241"/>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Impact</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11.3-fold increase via hydroxylase overexpression</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Major productivity jump</w:t>
            </w:r>
          </w:p>
        </w:tc>
      </w:tr>
      <w:tr>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107.3% increase through targeted gene deletions</w:t>
            </w:r>
          </w:p>
        </w:tc>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Significant metabolic rewiring</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78.9% reduction in H2O2</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Improved cell viability</w:t>
            </w:r>
          </w:p>
        </w:tc>
      </w:tr>
      <w:tr>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0.165 g/L/h specific productivity</w:t>
            </w:r>
          </w:p>
        </w:tc>
        <w:tc>
          <w:tcPr>
            <w:tcW w:type="dxa" w:w="4241"/>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Benchmark for industrial scale</w:t>
            </w:r>
          </w:p>
        </w:tc>
      </w:tr>
      <w:tr>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142 mg/L highest reported yield</w:t>
            </w:r>
          </w:p>
        </w:tc>
        <w:tc>
          <w:tcPr>
            <w:tcW w:type="dxa" w:w="4241"/>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Proof-of-concept for commercial scale</w:t>
            </w:r>
          </w:p>
        </w:tc>
      </w:tr>
    </w:tbl>
    <w:p>
      <w:pPr>
        <w:keepNext w:val="0"/>
        <w:pageBreakBefore w:val="0"/>
        <w:spacing w:before="0" w:after="120" w:lineRule="auto" w:line="240"/>
        <w:jc w:val="both"/>
      </w:pPr>
    </w:p>
    <w:p>
      <w:pPr>
        <w:keepNext w:val="0"/>
        <w:pageBreakBefore w:val="0"/>
        <w:spacing w:before="0" w:after="160" w:lineRule="auto" w:line="360"/>
        <w:jc w:val="both"/>
      </w:pPr>
      <w:r>
        <w:rPr>
          <w:rFonts w:ascii="Times New Roman" w:hAnsi="Times New Roman"/>
          <w:b/>
          <w:i w:val="0"/>
          <w:sz w:val="24"/>
        </w:rPr>
        <w:t>5. Recommendations for Future Work</w:t>
      </w:r>
    </w:p>
    <w:p>
      <w:pPr>
        <w:pStyle w:val="ListNumber"/>
        <w:keepNext w:val="0"/>
        <w:pageBreakBefore w:val="0"/>
        <w:spacing w:before="0" w:after="80" w:lineRule="auto" w:line="360"/>
        <w:jc w:val="both"/>
      </w:pPr>
      <w:r>
        <w:rPr>
          <w:rFonts w:ascii="Times New Roman" w:hAnsi="Times New Roman"/>
          <w:b/>
          <w:i w:val="0"/>
          <w:sz w:val="24"/>
        </w:rPr>
        <w:t>Combine Metabolic and Medium Optimisation:</w:t>
      </w:r>
      <w:r>
        <w:rPr>
          <w:rFonts w:ascii="Times New Roman" w:hAnsi="Times New Roman"/>
          <w:b w:val="0"/>
          <w:i w:val="0"/>
          <w:sz w:val="24"/>
        </w:rPr>
        <w:t xml:space="preserve"> Integrate gene-level modifications with RSM-derived medium formulations to capture synergistic effects.</w:t>
      </w:r>
    </w:p>
    <w:p>
      <w:pPr>
        <w:pStyle w:val="ListNumber"/>
        <w:keepNext w:val="0"/>
        <w:pageBreakBefore w:val="0"/>
        <w:spacing w:before="0" w:after="80" w:lineRule="auto" w:line="360"/>
        <w:jc w:val="both"/>
      </w:pPr>
      <w:r>
        <w:rPr>
          <w:rFonts w:ascii="Times New Roman" w:hAnsi="Times New Roman"/>
          <w:b/>
          <w:i w:val="0"/>
          <w:sz w:val="24"/>
        </w:rPr>
        <w:t>Dynamic Control of Gene Expression:</w:t>
      </w:r>
      <w:r>
        <w:rPr>
          <w:rFonts w:ascii="Times New Roman" w:hAnsi="Times New Roman"/>
          <w:b w:val="0"/>
          <w:i w:val="0"/>
          <w:sz w:val="24"/>
        </w:rPr>
        <w:t xml:space="preserve"> Employ inducible promoters or CRISPR-based regulation to balance growth and production phases.</w:t>
      </w:r>
    </w:p>
    <w:p>
      <w:pPr>
        <w:pStyle w:val="ListNumber"/>
        <w:keepNext w:val="0"/>
        <w:pageBreakBefore w:val="0"/>
        <w:spacing w:before="0" w:after="80" w:lineRule="auto" w:line="360"/>
        <w:jc w:val="both"/>
      </w:pPr>
      <w:r>
        <w:rPr>
          <w:rFonts w:ascii="Times New Roman" w:hAnsi="Times New Roman"/>
          <w:b/>
          <w:i w:val="0"/>
          <w:sz w:val="24"/>
        </w:rPr>
        <w:t>Scale-Up Validation:</w:t>
      </w:r>
      <w:r>
        <w:rPr>
          <w:rFonts w:ascii="Times New Roman" w:hAnsi="Times New Roman"/>
          <w:b w:val="0"/>
          <w:i w:val="0"/>
          <w:sz w:val="24"/>
        </w:rPr>
        <w:t xml:space="preserve"> Test engineered strains in bioreactors (10+ L) to confirm lab-scale yields and assess oxygen transfer, mixing, and heat removal.</w:t>
      </w:r>
    </w:p>
    <w:p>
      <w:pPr>
        <w:pStyle w:val="ListNumber"/>
        <w:keepNext w:val="0"/>
        <w:pageBreakBefore w:val="0"/>
        <w:spacing w:before="0" w:after="80" w:lineRule="auto" w:line="360"/>
        <w:jc w:val="both"/>
      </w:pPr>
      <w:r>
        <w:rPr>
          <w:rFonts w:ascii="Times New Roman" w:hAnsi="Times New Roman"/>
          <w:b/>
          <w:i w:val="0"/>
          <w:sz w:val="24"/>
        </w:rPr>
        <w:t>Process Monitoring:</w:t>
      </w:r>
      <w:r>
        <w:rPr>
          <w:rFonts w:ascii="Times New Roman" w:hAnsi="Times New Roman"/>
          <w:b w:val="0"/>
          <w:i w:val="0"/>
          <w:sz w:val="24"/>
        </w:rPr>
        <w:t xml:space="preserve"> Implement real-time H2O2 and pH sensors to maintain optimal conditions throughout fermentation.</w:t>
      </w:r>
    </w:p>
    <w:p>
      <w:pPr>
        <w:pStyle w:val="ListNumber"/>
        <w:keepNext w:val="0"/>
        <w:pageBreakBefore w:val="0"/>
        <w:spacing w:before="0" w:after="80" w:lineRule="auto" w:line="360"/>
        <w:jc w:val="both"/>
      </w:pPr>
      <w:r>
        <w:rPr>
          <w:rFonts w:ascii="Times New Roman" w:hAnsi="Times New Roman"/>
          <w:b/>
          <w:i w:val="0"/>
          <w:sz w:val="24"/>
        </w:rPr>
        <w:t>Downstream Simplification:</w:t>
      </w:r>
      <w:r>
        <w:rPr>
          <w:rFonts w:ascii="Times New Roman" w:hAnsi="Times New Roman"/>
          <w:b w:val="0"/>
          <w:i w:val="0"/>
          <w:sz w:val="24"/>
        </w:rPr>
        <w:t xml:space="preserve"> Explore in-situ product extraction or whole-cell biocatalysis to reduce purification costs.</w:t>
      </w:r>
    </w:p>
    <w:p>
      <w:pPr>
        <w:keepNext w:val="0"/>
        <w:pageBreakBefore w:val="0"/>
        <w:spacing w:before="0" w:after="160" w:lineRule="auto" w:line="360"/>
        <w:jc w:val="both"/>
      </w:pPr>
      <w:r>
        <w:rPr>
          <w:rFonts w:ascii="Times New Roman" w:hAnsi="Times New Roman"/>
          <w:b/>
          <w:i w:val="0"/>
          <w:sz w:val="24"/>
        </w:rPr>
        <w:t>6. Conclusion</w:t>
      </w:r>
    </w:p>
    <w:p>
      <w:pPr>
        <w:keepNext w:val="0"/>
        <w:pageBreakBefore w:val="0"/>
        <w:spacing w:before="0" w:after="160" w:lineRule="auto" w:line="360"/>
        <w:jc w:val="both"/>
      </w:pPr>
      <w:r>
        <w:rPr>
          <w:rFonts w:ascii="Times New Roman" w:hAnsi="Times New Roman"/>
          <w:b w:val="0"/>
          <w:i w:val="0"/>
          <w:sz w:val="24"/>
        </w:rPr>
        <w:t xml:space="preserve">The knowledge graph consolidates evidence that beta-carotene production can be dramatically increased through a combination of metabolic engineering, medium optimisation, and process control. The most compelling strategies involve overexpressing key enzymes, strategically deleting competing pathways, and fine-tuning culture conditions (carbon source, nitrogen, pH, temperature). When coupled with statistical design tools like RSM, these interventions have yielded up to a </w:t>
      </w:r>
      <w:r>
        <w:rPr>
          <w:rFonts w:ascii="Times New Roman" w:hAnsi="Times New Roman"/>
          <w:b/>
          <w:i w:val="0"/>
          <w:sz w:val="24"/>
        </w:rPr>
        <w:t>142 mg/L</w:t>
      </w:r>
      <w:r>
        <w:rPr>
          <w:rFonts w:ascii="Times New Roman" w:hAnsi="Times New Roman"/>
          <w:b w:val="0"/>
          <w:i w:val="0"/>
          <w:sz w:val="24"/>
        </w:rPr>
        <w:t xml:space="preserve"> product titer and </w:t>
      </w:r>
      <w:r>
        <w:rPr>
          <w:rFonts w:ascii="Times New Roman" w:hAnsi="Times New Roman"/>
          <w:b/>
          <w:i w:val="0"/>
          <w:sz w:val="24"/>
        </w:rPr>
        <w:t>11.3-fold</w:t>
      </w:r>
      <w:r>
        <w:rPr>
          <w:rFonts w:ascii="Times New Roman" w:hAnsi="Times New Roman"/>
          <w:b w:val="0"/>
          <w:i w:val="0"/>
          <w:sz w:val="24"/>
        </w:rPr>
        <w:t xml:space="preserve"> productivity gains. Implementing these strategies in industrial-scale fermentations promises a cost-effective route to high-value beta-carotene for diverse applications.</w:t>
      </w:r>
    </w:p>
    <w:p>
      <w:pPr>
        <w:keepNext w:val="0"/>
        <w:pageBreakBefore w:val="0"/>
        <w:spacing w:before="120" w:after="120" w:lineRule="auto" w:line="240"/>
        <w:jc w:val="both"/>
        <w:pBdr>
          <w:bottom w:val="single" w:sz="6" w:space="1" w:color="777777"/>
        </w:pBdr>
      </w:pPr>
    </w:p>
    <w:p>
      <w:pPr>
        <w:keepNext w:val="0"/>
        <w:pageBreakBefore w:val="0"/>
        <w:spacing w:before="0" w:after="160" w:lineRule="auto" w:line="360"/>
        <w:jc w:val="both"/>
      </w:pPr>
      <w:r>
        <w:rPr>
          <w:rFonts w:ascii="Times New Roman" w:hAnsi="Times New Roman"/>
          <w:b w:val="0"/>
          <w:i w:val="0"/>
          <w:sz w:val="24"/>
        </w:rPr>
        <w:t>Note: The above answer was generated entirely from 50 semantically retrieved triples spanning 23 source papers. No LLM training-data content was used. Every quantitative value (11.3-fold, 107.22 mg/L, 142 mg/L, 78.9%) is traceable to a specific extracted triple and source PMID.</w:t>
      </w:r>
    </w:p>
    <w:p>
      <w:pPr>
        <w:keepNext w:val="0"/>
        <w:pageBreakBefore w:val="0"/>
        <w:spacing w:before="120" w:after="120" w:lineRule="auto" w:line="240"/>
        <w:jc w:val="both"/>
        <w:pBdr>
          <w:bottom w:val="single" w:sz="6" w:space="1" w:color="777777"/>
        </w:pBdr>
      </w:pPr>
    </w:p>
    <w:p>
      <w:pPr>
        <w:keepNext/>
        <w:pageBreakBefore w:val="0"/>
        <w:spacing w:before="240" w:after="120" w:lineRule="auto" w:line="240"/>
        <w:jc w:val="left"/>
      </w:pPr>
      <w:r>
        <w:rPr>
          <w:rFonts w:ascii="Times New Roman" w:hAnsi="Times New Roman"/>
          <w:b/>
          <w:i w:val="0"/>
          <w:sz w:val="24"/>
        </w:rPr>
        <w:t>Side-by-Side Output Quality Comparison</w:t>
      </w:r>
    </w:p>
    <w:tbl>
      <w:tblPr>
        <w:tblStyle w:val="TableGrid"/>
        <w:tblW w:type="auto" w:w="0"/>
        <w:tblLook w:firstColumn="1" w:firstRow="1" w:lastColumn="0" w:lastRow="0" w:noHBand="0" w:noVBand="1" w:val="04A0"/>
      </w:tblPr>
      <w:tblGrid>
        <w:gridCol w:w="2771"/>
        <w:gridCol w:w="2771"/>
        <w:gridCol w:w="2771"/>
      </w:tblGrid>
      <w:tr>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Criterion</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NEKO-Style</w:t>
            </w:r>
          </w:p>
        </w:tc>
        <w:tc>
          <w:tcPr>
            <w:tcW w:type="dxa" w:w="2827"/>
            <w:shd w:val="clear" w:color="auto" w:fill="D0D0D0"/>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center"/>
            </w:pPr>
            <w:r>
              <w:rPr>
                <w:rFonts w:ascii="Times New Roman" w:hAnsi="Times New Roman"/>
                <w:b/>
                <w:color w:val="000000"/>
                <w:sz w:val="20"/>
              </w:rPr>
              <w:t>KGMiner (Actual)</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Query type</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Keyword only</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Full natural language sentence</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Relation types</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None — entity list only</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13 typed (activates, produces, has_metric...)</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Quantitative data</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Absent</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11.3x, 107.22 mg/L, 142 mg/L, 78.9%, 0.165 g/L/h</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Source citations</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None</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PMID traceable for every value</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Hallucination risk</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High</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Low (restricted to extracted triples)</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Mechanistic detail</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Generic ("associated with")</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Specific enzyme targets, gene strategies</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Papers synthesized</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Single traversal</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23 papers, 50 triples</w:t>
            </w:r>
          </w:p>
        </w:tc>
      </w:tr>
      <w:tr>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Output structure</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Paragraph summary</w:t>
            </w:r>
          </w:p>
        </w:tc>
        <w:tc>
          <w:tcPr>
            <w:tcW w:type="dxa" w:w="2827"/>
            <w:shd w:val="clear" w:color="auto" w:fill="F5F5F5"/>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Structured report with tables, sections, metrics</w:t>
            </w:r>
          </w:p>
        </w:tc>
      </w:tr>
      <w:tr>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Actionability</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Low</w:t>
            </w:r>
          </w:p>
        </w:tc>
        <w:tc>
          <w:tcPr>
            <w:tcW w:type="dxa" w:w="2827"/>
            <w:shd w:val="clear" w:color="auto" w:fill="FFFFFF"/>
            <w:tcBorders>
              <w:top w:val="single" w:sz="6" w:space="0" w:color="333333"/>
              <w:left w:val="single" w:sz="6" w:space="0" w:color="333333"/>
              <w:bottom w:val="single" w:sz="6" w:space="0" w:color="333333"/>
              <w:right w:val="single" w:sz="6" w:space="0" w:color="333333"/>
              <w:insideH w:val="single" w:sz="6" w:space="0" w:color="333333"/>
              <w:insideV w:val="single" w:sz="6" w:space="0" w:color="333333"/>
            </w:tcBorders>
          </w:tcPr>
          <w:p>
            <w:pPr>
              <w:jc w:val="left"/>
            </w:pPr>
            <w:r>
              <w:rPr>
                <w:rFonts w:ascii="Times New Roman" w:hAnsi="Times New Roman"/>
                <w:b w:val="0"/>
                <w:i w:val="0"/>
                <w:sz w:val="20"/>
              </w:rPr>
              <w:t>High — specific genes, strains, titers, conditions</w:t>
            </w:r>
          </w:p>
        </w:tc>
      </w:tr>
    </w:tbl>
    <w:p>
      <w:pPr>
        <w:keepNext w:val="0"/>
        <w:pageBreakBefore w:val="0"/>
        <w:spacing w:before="0" w:after="120" w:lineRule="auto" w:line="240"/>
        <w:jc w:val="both"/>
      </w:pPr>
    </w:p>
    <w:p>
      <w:pPr>
        <w:keepNext w:val="0"/>
        <w:pageBreakBefore w:val="0"/>
        <w:spacing w:before="40" w:after="240" w:lineRule="auto" w:line="240"/>
        <w:jc w:val="center"/>
      </w:pPr>
      <w:r>
        <w:rPr>
          <w:rFonts w:ascii="Times New Roman" w:hAnsi="Times New Roman"/>
          <w:b w:val="0"/>
          <w:i/>
          <w:sz w:val="20"/>
        </w:rPr>
        <w:t>Table 14: Side-by-side comparison of output quality between NEKO-style and KGMiner responses to the same natural language query.</w:t>
      </w:r>
    </w:p>
    <w:p>
      <w:pPr>
        <w:keepNext/>
        <w:pageBreakBefore/>
        <w:spacing w:before="0" w:after="360" w:lineRule="auto" w:line="240"/>
        <w:jc w:val="left"/>
      </w:pPr>
      <w:r>
        <w:rPr>
          <w:rFonts w:ascii="Times New Roman" w:hAnsi="Times New Roman"/>
          <w:b/>
          <w:i w:val="0"/>
          <w:sz w:val="28"/>
        </w:rPr>
        <w:t>CHAPTER 7: CONCLUSION</w:t>
      </w:r>
    </w:p>
    <w:p>
      <w:pPr>
        <w:keepNext w:val="0"/>
        <w:pageBreakBefore w:val="0"/>
        <w:spacing w:before="0" w:after="160" w:lineRule="auto" w:line="360"/>
        <w:jc w:val="both"/>
      </w:pPr>
      <w:r>
        <w:rPr>
          <w:rFonts w:ascii="Times New Roman" w:hAnsi="Times New Roman"/>
          <w:b w:val="0"/>
          <w:i w:val="0"/>
          <w:sz w:val="24"/>
        </w:rPr>
        <w:t>This report presents KGMiner, an enhanced AI-driven workflow for constructing typed, directed knowledge graphs from biomedical literature. Building on the foundation established by the NEKO pipeline (Xiao et al., 2025), KGMiner introduces three core architectural innovations: ontology-constrained triple extraction with a 13-relation biological vocabulary, multi-pass extraction with progressive refinement, and Graph-RAG querying with anti-hallucination answer generation.</w:t>
      </w:r>
    </w:p>
    <w:p>
      <w:pPr>
        <w:keepNext w:val="0"/>
        <w:pageBreakBefore w:val="0"/>
        <w:spacing w:before="0" w:after="160" w:lineRule="auto" w:line="360"/>
        <w:jc w:val="both"/>
      </w:pPr>
      <w:r>
        <w:rPr>
          <w:rFonts w:ascii="Times New Roman" w:hAnsi="Times New Roman"/>
          <w:b w:val="0"/>
          <w:i w:val="0"/>
          <w:sz w:val="24"/>
        </w:rPr>
        <w:t>The system was evaluated on a beta-carotene biosynthesis case study, processing 226 PubMed abstracts and extracting 4,722 typed triples across 2,996 normalized biological entities. The controlled ablation study demonstrated that multi-pass extraction captures 170.6% more triples than single-pass processing (855 vs. 316 triples on 15 articles), with the three passes contributing 45.7%, 35.3%, and 18.9% respectively. The 13-relation ontological vocabulary covers 73.5% of all extracted triples, enabling mechanistic reasoning that distinguishes activation from inhibition, production from encoding, and quantitative metrics from relational associations.</w:t>
      </w:r>
    </w:p>
    <w:p>
      <w:pPr>
        <w:keepNext w:val="0"/>
        <w:pageBreakBefore w:val="0"/>
        <w:spacing w:before="0" w:after="160" w:lineRule="auto" w:line="360"/>
        <w:jc w:val="both"/>
      </w:pPr>
      <w:r>
        <w:rPr>
          <w:rFonts w:ascii="Times New Roman" w:hAnsi="Times New Roman"/>
          <w:b w:val="0"/>
          <w:i w:val="0"/>
          <w:sz w:val="24"/>
        </w:rPr>
        <w:t>The semantic Graph-RAG querying system enables natural language queries against the knowledge graph, returning structured, citation-backed answers with specific quantitative metrics such as an 11.3-fold increase in yield via hydroxylase overexpression, a 107.22 mg/L beta-carotene titer from glucose-based culture, and a maximum reported yield of 142 mg/L from Yarrowia lipolytica — all traceable to source PubMed IDs. This transforms the knowledge graph from a navigable visualization into an active research tool capable of synthesizing cross-paper insights in response to plain-language questions.</w:t>
      </w:r>
    </w:p>
    <w:p>
      <w:pPr>
        <w:keepNext w:val="0"/>
        <w:pageBreakBefore w:val="0"/>
        <w:spacing w:before="0" w:after="160" w:lineRule="auto" w:line="360"/>
        <w:jc w:val="both"/>
      </w:pPr>
      <w:r>
        <w:rPr>
          <w:rFonts w:ascii="Times New Roman" w:hAnsi="Times New Roman"/>
          <w:b w:val="0"/>
          <w:i w:val="0"/>
          <w:sz w:val="24"/>
        </w:rPr>
        <w:t>The system addresses each of the four structural gaps identified in the prior NEKO implementation: full-sentence query processing via semantic triple embedding, improved recall through multi-pass extraction, structured metric capture via dedicated has_metric triples, and evidence-grounding that prevents hallucination in answer synthesis. The system is deployed as a FastAPI web application using free-tier cloud LLM providers (Groq and Cerebras with 13 available models), making it accessible for biological research without dedicated computational infrastructure. The codebase is publicly available at https://github.com/Up14/Knowledge.</w:t>
      </w:r>
    </w:p>
    <w:p>
      <w:pPr>
        <w:keepNext/>
        <w:pageBreakBefore/>
        <w:spacing w:before="0" w:after="360" w:lineRule="auto" w:line="240"/>
        <w:jc w:val="left"/>
      </w:pPr>
      <w:r>
        <w:rPr>
          <w:rFonts w:ascii="Times New Roman" w:hAnsi="Times New Roman"/>
          <w:b/>
          <w:i w:val="0"/>
          <w:sz w:val="28"/>
        </w:rPr>
        <w:t>CHAPTER 8: FUTURE WORK</w:t>
      </w:r>
    </w:p>
    <w:p>
      <w:pPr>
        <w:keepNext w:val="0"/>
        <w:pageBreakBefore w:val="0"/>
        <w:spacing w:before="0" w:after="160" w:lineRule="auto" w:line="360"/>
        <w:jc w:val="both"/>
      </w:pPr>
      <w:r>
        <w:rPr>
          <w:rFonts w:ascii="Times New Roman" w:hAnsi="Times New Roman"/>
          <w:b w:val="0"/>
          <w:i w:val="0"/>
          <w:sz w:val="24"/>
        </w:rPr>
        <w:t>The following improvements are proposed as extensions of the KGMiner system:</w:t>
      </w:r>
    </w:p>
    <w:p>
      <w:pPr>
        <w:pStyle w:val="ListNumber"/>
        <w:keepNext w:val="0"/>
        <w:pageBreakBefore w:val="0"/>
        <w:spacing w:before="0" w:after="80" w:lineRule="auto" w:line="360"/>
        <w:jc w:val="both"/>
      </w:pPr>
      <w:r>
        <w:rPr>
          <w:rFonts w:ascii="Times New Roman" w:hAnsi="Times New Roman"/>
          <w:b/>
          <w:i w:val="0"/>
          <w:sz w:val="24"/>
        </w:rPr>
        <w:t>Ontology Expansion.</w:t>
      </w:r>
      <w:r>
        <w:rPr>
          <w:rFonts w:ascii="Times New Roman" w:hAnsi="Times New Roman"/>
          <w:b w:val="0"/>
          <w:i w:val="0"/>
          <w:sz w:val="24"/>
        </w:rPr>
        <w:t xml:space="preserve"> The current 13-relation vocabulary covers 73.5% of extracted triples. Domain expert analysis of the 512 non-canonical relation strings used in the remaining 26.5% of triples would identify the most common missing relations. Adding 5-7 additional canonical types (e.g., "is_substrate_of," "competes_with," "is_precursor_to") could increase ontology coverage above 85%.</w:t>
      </w:r>
    </w:p>
    <w:p>
      <w:pPr>
        <w:pStyle w:val="ListNumber"/>
        <w:keepNext w:val="0"/>
        <w:pageBreakBefore w:val="0"/>
        <w:spacing w:before="0" w:after="80" w:lineRule="auto" w:line="360"/>
        <w:jc w:val="both"/>
      </w:pPr>
      <w:r>
        <w:rPr>
          <w:rFonts w:ascii="Times New Roman" w:hAnsi="Times New Roman"/>
          <w:b/>
          <w:i w:val="0"/>
          <w:sz w:val="24"/>
        </w:rPr>
        <w:t>Full-Text Article Processing.</w:t>
      </w:r>
      <w:r>
        <w:rPr>
          <w:rFonts w:ascii="Times New Roman" w:hAnsi="Times New Roman"/>
          <w:b w:val="0"/>
          <w:i w:val="0"/>
          <w:sz w:val="24"/>
        </w:rPr>
        <w:t xml:space="preserve"> The current implementation processes abstracts only. Extending the pipeline to full-text articles via PubMed Central's Open Access subset would provide access to methods sections (where culture conditions and genetic modifications are described in detail), results sections (where quantitative data is reported comprehensively), and supplementary data. This would substantially increase triple density and metric capture.</w:t>
      </w:r>
    </w:p>
    <w:p>
      <w:pPr>
        <w:pStyle w:val="ListNumber"/>
        <w:keepNext w:val="0"/>
        <w:pageBreakBefore w:val="0"/>
        <w:spacing w:before="0" w:after="80" w:lineRule="auto" w:line="360"/>
        <w:jc w:val="both"/>
      </w:pPr>
      <w:r>
        <w:rPr>
          <w:rFonts w:ascii="Times New Roman" w:hAnsi="Times New Roman"/>
          <w:b/>
          <w:i w:val="0"/>
          <w:sz w:val="24"/>
        </w:rPr>
        <w:t>Dynamic Graph Database Integration.</w:t>
      </w:r>
      <w:r>
        <w:rPr>
          <w:rFonts w:ascii="Times New Roman" w:hAnsi="Times New Roman"/>
          <w:b w:val="0"/>
          <w:i w:val="0"/>
          <w:sz w:val="24"/>
        </w:rPr>
        <w:t xml:space="preserve"> The current NetworkX-based graph is stored in memory and as serialized files. Transitioning to a dynamic graph database such as Neo4j would enable complex Cypher queries, multi-hop path finding (e.g., "show the shortest production pathway from glucose to beta-carotene"), and real-time graph updates as new literature is published.</w:t>
      </w:r>
    </w:p>
    <w:p>
      <w:pPr>
        <w:pStyle w:val="ListNumber"/>
        <w:keepNext w:val="0"/>
        <w:pageBreakBefore w:val="0"/>
        <w:spacing w:before="0" w:after="80" w:lineRule="auto" w:line="360"/>
        <w:jc w:val="both"/>
      </w:pPr>
      <w:r>
        <w:rPr>
          <w:rFonts w:ascii="Times New Roman" w:hAnsi="Times New Roman"/>
          <w:b/>
          <w:i w:val="0"/>
          <w:sz w:val="24"/>
        </w:rPr>
        <w:t>Hypothesis Generation Module.</w:t>
      </w:r>
      <w:r>
        <w:rPr>
          <w:rFonts w:ascii="Times New Roman" w:hAnsi="Times New Roman"/>
          <w:b w:val="0"/>
          <w:i w:val="0"/>
          <w:sz w:val="24"/>
        </w:rPr>
        <w:t xml:space="preserve"> The current system retrieves and synthesizes existing knowledge. A hypothesis generation module could use the typed knowledge graph to identify unexplored combinations: for example, if Organism A has_capability lipid accumulation and Organism B produces beta-carotene, the system could suggest testing Organism A as a host for Organism B's production pathway. This would close the DBTL (Design-Build-Test-Learn) loop between literature mining and experimental planning.</w:t>
      </w:r>
    </w:p>
    <w:p>
      <w:pPr>
        <w:pStyle w:val="ListNumber"/>
        <w:keepNext w:val="0"/>
        <w:pageBreakBefore w:val="0"/>
        <w:spacing w:before="0" w:after="80" w:lineRule="auto" w:line="360"/>
        <w:jc w:val="both"/>
      </w:pPr>
      <w:r>
        <w:rPr>
          <w:rFonts w:ascii="Times New Roman" w:hAnsi="Times New Roman"/>
          <w:b/>
          <w:i w:val="0"/>
          <w:sz w:val="24"/>
        </w:rPr>
        <w:t>Cross-Domain Validation.</w:t>
      </w:r>
      <w:r>
        <w:rPr>
          <w:rFonts w:ascii="Times New Roman" w:hAnsi="Times New Roman"/>
          <w:b w:val="0"/>
          <w:i w:val="0"/>
          <w:sz w:val="24"/>
        </w:rPr>
        <w:t xml:space="preserve"> The ablation study in this work used 15 articles for computational tractability. A larger-scale validation against manually curated knowledge bases (e.g., BRENDA, MetaCyc, or ChEMBL for the carotenoid domain) would provide a more rigorous precision and recall assessment using standardized benchmarks.</w:t>
      </w:r>
    </w:p>
    <w:p>
      <w:pPr>
        <w:pStyle w:val="ListNumber"/>
        <w:keepNext w:val="0"/>
        <w:pageBreakBefore w:val="0"/>
        <w:spacing w:before="0" w:after="80" w:lineRule="auto" w:line="360"/>
        <w:jc w:val="both"/>
      </w:pPr>
      <w:r>
        <w:rPr>
          <w:rFonts w:ascii="Times New Roman" w:hAnsi="Times New Roman"/>
          <w:b/>
          <w:i w:val="0"/>
          <w:sz w:val="24"/>
        </w:rPr>
        <w:t>Real-Time Literature Monitoring.</w:t>
      </w:r>
      <w:r>
        <w:rPr>
          <w:rFonts w:ascii="Times New Roman" w:hAnsi="Times New Roman"/>
          <w:b w:val="0"/>
          <w:i w:val="0"/>
          <w:sz w:val="24"/>
        </w:rPr>
        <w:t xml:space="preserve"> Integrating PubMed's E-utilities notification system would allow KGMiner to monitor for new publications matching the research goal and automatically process and incorporate them into the knowledge graph. This would enable "living" knowledge bases that update as new results are published.</w:t>
      </w:r>
    </w:p>
    <w:p>
      <w:pPr>
        <w:keepNext/>
        <w:pageBreakBefore/>
        <w:spacing w:before="0" w:after="360" w:lineRule="auto" w:line="240"/>
        <w:jc w:val="left"/>
      </w:pPr>
      <w:r>
        <w:rPr>
          <w:rFonts w:ascii="Times New Roman" w:hAnsi="Times New Roman"/>
          <w:b/>
          <w:i w:val="0"/>
          <w:sz w:val="28"/>
        </w:rPr>
        <w:t>CHAPTER 9: REFERENCES</w:t>
      </w:r>
    </w:p>
    <w:p>
      <w:pPr>
        <w:keepNext w:val="0"/>
        <w:pageBreakBefore w:val="0"/>
        <w:spacing w:before="0" w:after="80" w:lineRule="auto" w:line="360"/>
        <w:ind w:hanging="480" w:left="480"/>
        <w:jc w:val="both"/>
      </w:pPr>
      <w:r>
        <w:rPr>
          <w:rFonts w:ascii="Times New Roman" w:hAnsi="Times New Roman"/>
          <w:b w:val="0"/>
          <w:i w:val="0"/>
          <w:sz w:val="22"/>
        </w:rPr>
        <w:t>[1] Bolton, E., Hall, D., Yasunaga, M., Lee, T., Manning, C.D., and Liang, P. (2024). BioMedLM: A 2.7B parameter language model trained on biomedical text. arXiv preprint arXiv:2403.18421.</w:t>
      </w:r>
    </w:p>
    <w:p>
      <w:pPr>
        <w:keepNext w:val="0"/>
        <w:pageBreakBefore w:val="0"/>
        <w:spacing w:before="0" w:after="80" w:lineRule="auto" w:line="360"/>
        <w:ind w:hanging="480" w:left="480"/>
        <w:jc w:val="both"/>
      </w:pPr>
      <w:r>
        <w:rPr>
          <w:rFonts w:ascii="Times New Roman" w:hAnsi="Times New Roman"/>
          <w:b w:val="0"/>
          <w:i w:val="0"/>
          <w:sz w:val="22"/>
        </w:rPr>
        <w:t>[2] Edge, D., Trinh, H., Cheng, N., Bradley, J., Chao, A., Mody, A., Truitt, S., and Larson, J. (2024). From Local to Global: A Graph RAG Approach to Query-Focused Summarization. arXiv preprint arXiv:2404.16130.</w:t>
      </w:r>
    </w:p>
    <w:p>
      <w:pPr>
        <w:keepNext w:val="0"/>
        <w:pageBreakBefore w:val="0"/>
        <w:spacing w:before="0" w:after="80" w:lineRule="auto" w:line="360"/>
        <w:ind w:hanging="480" w:left="480"/>
        <w:jc w:val="both"/>
      </w:pPr>
      <w:r>
        <w:rPr>
          <w:rFonts w:ascii="Times New Roman" w:hAnsi="Times New Roman"/>
          <w:b w:val="0"/>
          <w:i w:val="0"/>
          <w:sz w:val="22"/>
        </w:rPr>
        <w:t>[3] Kim, D., Lee, J., So, C.H., Jeon, H., Jeong, M., Choi, Y., Yoon, W., Sung, M., and Kang, J. (2022). BERN2: An advanced neural biomedical named entity recognition and normalization tool. Bioinformatics, 38(20), 4837-4839.</w:t>
      </w:r>
    </w:p>
    <w:p>
      <w:pPr>
        <w:keepNext w:val="0"/>
        <w:pageBreakBefore w:val="0"/>
        <w:spacing w:before="0" w:after="80" w:lineRule="auto" w:line="360"/>
        <w:ind w:hanging="480" w:left="480"/>
        <w:jc w:val="both"/>
      </w:pPr>
      <w:r>
        <w:rPr>
          <w:rFonts w:ascii="Times New Roman" w:hAnsi="Times New Roman"/>
          <w:b w:val="0"/>
          <w:i w:val="0"/>
          <w:sz w:val="22"/>
        </w:rPr>
        <w:t>[4] Lee, J., Kim, S., Park, C., and Choi, M. (2023). AI4BioKnowledge: An automated pipeline for biology text mining and biological network construction. Bioinformatics Advances, 3(1), vbad042.</w:t>
      </w:r>
    </w:p>
    <w:p>
      <w:pPr>
        <w:keepNext w:val="0"/>
        <w:pageBreakBefore w:val="0"/>
        <w:spacing w:before="0" w:after="80" w:lineRule="auto" w:line="360"/>
        <w:ind w:hanging="480" w:left="480"/>
        <w:jc w:val="both"/>
      </w:pPr>
      <w:r>
        <w:rPr>
          <w:rFonts w:ascii="Times New Roman" w:hAnsi="Times New Roman"/>
          <w:b w:val="0"/>
          <w:i w:val="0"/>
          <w:sz w:val="22"/>
        </w:rPr>
        <w:t>[5] Lewis, P., Perez, E., Piktus, A., Petroni, F., Karpukhin, V., Goyal, N., Kuttler, H., Lewis, M., Yih, W., Rocktaschel, T., Riedel, S., and Kiela, D. (2020). Retrieval-Augmented Generation for Knowledge-Intensive NLP Tasks. Advances in Neural Information Processing Systems (NeurIPS), 33, 9459-9474.</w:t>
      </w:r>
    </w:p>
    <w:p>
      <w:pPr>
        <w:keepNext w:val="0"/>
        <w:pageBreakBefore w:val="0"/>
        <w:spacing w:before="0" w:after="80" w:lineRule="auto" w:line="360"/>
        <w:ind w:hanging="480" w:left="480"/>
        <w:jc w:val="both"/>
      </w:pPr>
      <w:r>
        <w:rPr>
          <w:rFonts w:ascii="Times New Roman" w:hAnsi="Times New Roman"/>
          <w:b w:val="0"/>
          <w:i w:val="0"/>
          <w:sz w:val="22"/>
        </w:rPr>
        <w:t>[6] Luo, R., Sun, L., Xia, Y., Qin, T., Zhang, S., Poon, H., and Liu, T.Y. (2022). BioGPT: Generative pre-trained transformer for biomedical text generation and mining. Briefings in Bioinformatics, 23(6), bbac409.</w:t>
      </w:r>
    </w:p>
    <w:p>
      <w:pPr>
        <w:keepNext w:val="0"/>
        <w:pageBreakBefore w:val="0"/>
        <w:spacing w:before="0" w:after="80" w:lineRule="auto" w:line="360"/>
        <w:ind w:hanging="480" w:left="480"/>
        <w:jc w:val="both"/>
      </w:pPr>
      <w:r>
        <w:rPr>
          <w:rFonts w:ascii="Times New Roman" w:hAnsi="Times New Roman"/>
          <w:b w:val="0"/>
          <w:i w:val="0"/>
          <w:sz w:val="22"/>
        </w:rPr>
        <w:t>[7] Wadhwa, S., Amir, S., and Wallace, B.C. (2023). Revisiting Relation Extraction in the era of Large Language Models. Proceedings of the 61st Annual Meeting of the Association for Computational Linguistics (ACL), 15566-15589.</w:t>
      </w:r>
    </w:p>
    <w:p>
      <w:pPr>
        <w:keepNext w:val="0"/>
        <w:pageBreakBefore w:val="0"/>
        <w:spacing w:before="0" w:after="80" w:lineRule="auto" w:line="360"/>
        <w:ind w:hanging="480" w:left="480"/>
        <w:jc w:val="both"/>
      </w:pPr>
      <w:r>
        <w:rPr>
          <w:rFonts w:ascii="Times New Roman" w:hAnsi="Times New Roman"/>
          <w:b w:val="0"/>
          <w:i w:val="0"/>
          <w:sz w:val="22"/>
        </w:rPr>
        <w:t>[8] Wei, C.H., Allot, A., Leaman, R., and Lu, Z. (2024). PubTator 3.0: an AI-powered literature resource for unlocking biomedical knowledge. Nucleic Acids Research, 52(W1), W265-W270.</w:t>
      </w:r>
    </w:p>
    <w:p>
      <w:pPr>
        <w:keepNext w:val="0"/>
        <w:pageBreakBefore w:val="0"/>
        <w:spacing w:before="0" w:after="80" w:lineRule="auto" w:line="360"/>
        <w:ind w:hanging="480" w:left="480"/>
        <w:jc w:val="both"/>
      </w:pPr>
      <w:r>
        <w:rPr>
          <w:rFonts w:ascii="Times New Roman" w:hAnsi="Times New Roman"/>
          <w:b w:val="0"/>
          <w:i w:val="0"/>
          <w:sz w:val="22"/>
        </w:rPr>
        <w:t>[9] Xiao, Z., Pakrasi, H.B., Chen, Y., and Tang, Y.J. (2025). Network for Knowledge Organization (NEKO): An AI knowledge mining workflow for synthetic biology research. Metabolic Engineering, 87, 60-67.</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r>
    <w:r>
      <w:rPr>
        <w:rFonts w:ascii="Times New Roman" w:hAnsi="Times New Roman"/>
        <w:sz w:val="20"/>
      </w:rPr>
      <w:instrText>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