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7.png" ContentType="image/png"/>
  <Override PartName="/word/media/rId114.png" ContentType="image/png"/>
  <Override PartName="/word/media/rId68.png" ContentType="image/png"/>
  <Override PartName="/word/media/rId83.png" ContentType="image/png"/>
  <Override PartName="/word/media/rId73.png" ContentType="image/png"/>
  <Override PartName="/word/media/rId123.png" ContentType="image/png"/>
  <Override PartName="/word/media/rId96.png" ContentType="image/png"/>
  <Override PartName="/word/media/rId80.png" ContentType="image/png"/>
  <Override PartName="/word/media/rId106.png" ContentType="image/png"/>
  <Override PartName="/word/media/rId100.png" ContentType="image/png"/>
  <Override PartName="/word/media/rId90.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Subtitle"/>
        <w:jc w:val="center"/>
      </w:pPr>
      <w:r>
        <w:rPr>
          <w:bCs/>
          <w:b/>
        </w:rPr>
        <w:t xml:space="preserve">The University of the West Indies</w:t>
      </w:r>
    </w:p>
    <w:p>
      <w:pPr>
        <w:pStyle w:val="Subtitle"/>
        <w:jc w:val="center"/>
      </w:pPr>
      <w:r>
        <w:t xml:space="preserve">Department of Computing &amp; Information Technology</w:t>
      </w:r>
    </w:p>
    <w:p>
      <w:pPr>
        <w:pStyle w:val="BodyText"/>
      </w:pPr>
      <w:r>
        <w:rPr>
          <w:bCs/>
          <w:b/>
        </w:rPr>
        <w:t xml:space="preserve">Source-Traceable Research Intelligence</w:t>
      </w:r>
    </w:p>
    <w:p>
      <w:pPr>
        <w:pStyle w:val="BodyText"/>
      </w:pPr>
      <w:r>
        <w:t xml:space="preserve">Evidence-Grounded Discovery, Question Answering, and Thesis-Extension Support for the TTLAB Corpus</w:t>
      </w:r>
    </w:p>
    <w:p>
      <w:pPr>
        <w:pStyle w:val="Subtitle"/>
        <w:jc w:val="center"/>
      </w:pPr>
      <w:r>
        <w:rPr>
          <w:bCs/>
          <w:b/>
        </w:rPr>
        <w:t xml:space="preserve">MSc Data Science Project</w:t>
      </w:r>
    </w:p>
    <w:p>
      <w:pPr>
        <w:pStyle w:val="Author"/>
        <w:jc w:val="center"/>
      </w:pPr>
      <w:r>
        <w:rPr>
          <w:bCs/>
          <w:b/>
        </w:rPr>
        <w:t xml:space="preserve">Jarod Esareesingh</w:t>
      </w:r>
    </w:p>
    <w:p>
      <w:pPr>
        <w:pStyle w:val="Normal"/>
        <w:jc w:val="center"/>
      </w:pPr>
      <w:hyperlink r:id="rId20">
        <w:r>
          <w:rPr>
            <w:rStyle w:val="Hyperlink"/>
          </w:rPr>
          <w:t xml:space="preserve">jarod.esareesingh@my.uwi.edu</w:t>
        </w:r>
      </w:hyperlink>
    </w:p>
    <w:p>
      <w:pPr>
        <w:pStyle w:val="Normal"/>
        <w:jc w:val="center"/>
      </w:pPr>
      <w:r>
        <w:t xml:space="preserve">Trinidad and Tobago</w:t>
      </w:r>
    </w:p>
    <w:p>
      <w:pPr>
        <w:pStyle w:val="BodyText"/>
      </w:pPr>
      <w:r>
        <w:t xml:space="preserve">Editable manuscript sources, evidence manifests, and generated metrics are version controlled.</w:t>
      </w:r>
    </w:p>
    <w:bookmarkStart w:id="21" w:name="abstract"/>
    <w:p>
      <w:pPr>
        <w:pStyle w:val="Heading1"/>
      </w:pPr>
      <w:r>
        <w:t xml:space="preserve">Abstract</w:t>
      </w:r>
    </w:p>
    <w:p>
      <w:pPr>
        <w:pStyle w:val="FirstParagraph"/>
      </w:pPr>
      <w:r>
        <w:t xml:space="preserve">Publication archives expose bibliographic records but not full-text discovery, evidence-linked question answering, content summarization, author/topic exploration, or bounded research-idea design. This thesis designs and evaluates a source-traceable research-intelligence platform for a TTLAB corpus. Its evaluated structured Thesis Extension Finder is complemented by a post-evaluation conversational Idea Generator that returns one to three schema-validated directions and distinguishes paper-informed output from general suggestions. Here, source-traceable means that paper, chunk, page, section, provider, timestamp, warning, and review-state identifiers persist through retrieval and generation; it does not imply factual correctness or entailment.</w:t>
      </w:r>
    </w:p>
    <w:p>
      <w:pPr>
        <w:pStyle w:val="BodyText"/>
      </w:pPr>
      <w:r>
        <w:t xml:space="preserve">The artefact-oriented methodology uses source-derived AI-reviewed silver evidence. Its frozen technical snapshot contains 134 catalog records, 96 eligible full-text papers, and 719 eligible chunks after excluding 2 PDF/title mismatches. Keyword, feature-hashing, and pinned learned-dense indexes cover the complete eligible set. The independent production publication-and-rights gate is stricter: no paper in the audited snapshot was approved for public search. An explicit loopback-only demo can preview technically eligible records with visible rights/review warnings, but it does not change publication decisions.</w:t>
      </w:r>
    </w:p>
    <w:p>
      <w:pPr>
        <w:pStyle w:val="BodyText"/>
      </w:pPr>
      <w:r>
        <w:t xml:space="preserve">Historical v1 evidence retains strict answer-point coverage of 11/81 (0.1358); 49 cases received a response, 1 abstained, and only 1/4 unanswerable cases abstained. A prospectively frozen protocol evaluated selective QA, paired Finder ranking, positive-only topics, and an OCR fixture. Over 12 held-out cases, answerability precision was 66.7% ([44.4%, 90.0%]) and exact-locator citation precision 9.1% ([0.0%, 18.8%]). Finder Hit@3 changed by -20.0 pp ([-60.0 pp, +0.0 pp]) over 5 profiles. Known-positive topic recall was 75.0% ([45.5%, 100.0%]) over 8 cases; OCR fixture character error was 0.0%. V1 and v2 share the technical corpus but differ in cases, denominators, constructs, and protocols, so their comparison is descriptive, not paired. The newer Idea Generator has deterministic contract tests and four formative regression prompts, but no live-model quality or human-usefulness evaluation. These observations are not human validation, entailment, public effectiveness, novelty, feasibility, or student benefit. The contribution is an evidence-calibrated platform and reproducible evaluation package, not a validated research advisor.</w:t>
      </w:r>
    </w:p>
    <w:p>
      <w:pPr>
        <w:pStyle w:val="BodyText"/>
      </w:pPr>
      <w:r>
        <w:rPr>
          <w:bCs/>
          <w:b/>
        </w:rPr>
        <w:t xml:space="preserve">Keywords:</w:t>
      </w:r>
      <w:r>
        <w:t xml:space="preserve"> </w:t>
      </w:r>
      <w:r>
        <w:t xml:space="preserve">research intelligence, information retrieval, retrieval-augmented generation, idea generation, scholarly recommendation, responsible AI, reproducibility.</w:t>
      </w:r>
    </w:p>
    <w:bookmarkEnd w:id="21"/>
    <w:bookmarkStart w:id="22" w:name="Xe52d9d5c2b95c8a3b8f436ea47e6c5508d7b6d1"/>
    <w:p>
      <w:pPr>
        <w:pStyle w:val="Heading1"/>
      </w:pPr>
      <w:r>
        <w:t xml:space="preserve">Statement of Scope and External Assistance</w:t>
      </w:r>
    </w:p>
    <w:p>
      <w:pPr>
        <w:pStyle w:val="FirstParagraph"/>
      </w:pPr>
      <w:r>
        <w:t xml:space="preserve">This thesis reports software engineering, document processing, controlled offline experiments, and AI-assisted formative review. No human participants were recruited. TTLAB authorized the project and use of the laboratory corpus; that authorization is not represented as research-ethics approval or as permission to redistribute third-party PDFs. OpenAI Codex was used as an external development and editorial support tool for repository inspection, test preparation, AI-silver label creation and verification, targeted implementation assistance, and focused manuscript editing. The author retained responsibility for project direction, design decisions, interpretation, verification, and the submitted work. The reviewer identity is retained as</w:t>
      </w:r>
      <w:r>
        <w:t xml:space="preserve"> </w:t>
      </w:r>
      <w:r>
        <w:rPr>
          <w:rStyle w:val="VerbatimChar"/>
        </w:rPr>
        <w:t xml:space="preserve">codex-ai-review</w:t>
      </w:r>
      <w:r>
        <w:t xml:space="preserve">; all resulting labels are described as AI-reviewed silver labels rather than human judgments. Jarod Esareesingh is the named thesis author. Any institution-specific authorship declaration, conflict statement, or submission attestation remains an external submission requirement and is not fabricated here.</w:t>
      </w:r>
    </w:p>
    <w:bookmarkEnd w:id="22"/>
    <w:bookmarkStart w:id="23" w:name="table-of-contents"/>
    <w:p>
      <w:pPr>
        <w:pStyle w:val="Heading1"/>
      </w:pPr>
      <w:r>
        <w:t xml:space="preserve">Table of Contents</w:t>
      </w:r>
    </w:p>
    <w:p>
      <w:pPr>
        <w:pStyle w:val="FirstParagraph"/>
      </w:pPr>
      <w:r>
        <w:fldChar w:fldCharType="begin"/>
      </w:r>
      <w:r>
        <w:instrText xml:space="preserve"> TOC \o "1-3" \h \z \u </w:instrText>
      </w:r>
      <w:r>
        <w:fldChar w:fldCharType="separate"/>
      </w:r>
      <w:r>
        <w:t>Update this field in Word to generate the table of contents.</w:t>
      </w:r>
      <w:r>
        <w:fldChar w:fldCharType="end"/>
      </w:r>
    </w:p>
    <w:bookmarkEnd w:id="23"/>
    <w:bookmarkStart w:id="24" w:name="list-of-figures"/>
    <w:p>
      <w:pPr>
        <w:pStyle w:val="Heading1"/>
      </w:pPr>
      <w:r>
        <w:t xml:space="preserve">List of Figures</w:t>
      </w:r>
    </w:p>
    <w:p>
      <w:pPr>
        <w:pStyle w:val="FirstParagraph"/>
      </w:pPr>
      <w:r>
        <w:fldChar w:fldCharType="begin"/>
      </w:r>
      <w:r>
        <w:instrText xml:space="preserve"> TOC \h \z \t "Image Caption,1" </w:instrText>
      </w:r>
      <w:r>
        <w:fldChar w:fldCharType="separate"/>
      </w:r>
      <w:r>
        <w:t>Update this field in Word to generate the list of figures.</w:t>
      </w:r>
      <w:r>
        <w:fldChar w:fldCharType="end"/>
      </w:r>
    </w:p>
    <w:bookmarkEnd w:id="24"/>
    <w:bookmarkStart w:id="25" w:name="list-of-tables"/>
    <w:p>
      <w:pPr>
        <w:pStyle w:val="Heading1"/>
      </w:pPr>
      <w:r>
        <w:t xml:space="preserve">List of Tables</w:t>
      </w:r>
    </w:p>
    <w:p>
      <w:pPr>
        <w:pStyle w:val="FirstParagraph"/>
      </w:pPr>
      <w:r>
        <w:fldChar w:fldCharType="begin"/>
      </w:r>
      <w:r>
        <w:instrText xml:space="preserve"> TOC \h \z \t "Table Caption,1" </w:instrText>
      </w:r>
      <w:r>
        <w:fldChar w:fldCharType="separate"/>
      </w:r>
      <w:r>
        <w:t>Update this field in Word to generate the list of tables.</w:t>
      </w:r>
      <w:r>
        <w:fldChar w:fldCharType="end"/>
      </w:r>
    </w:p>
    <w:bookmarkEnd w:id="25"/>
    <w:bookmarkStart w:id="26" w:name="list-of-abbreviations"/>
    <w:p>
      <w:pPr>
        <w:pStyle w:val="Heading1"/>
      </w:pPr>
      <w:r>
        <w:t xml:space="preserve">List of Abbreviations</w:t>
      </w:r>
    </w:p>
    <w:p>
      <w:pPr>
        <w:pStyle w:val="DefinitionTerm"/>
      </w:pPr>
      <w:r>
        <w:t xml:space="preserve">API</w:t>
      </w:r>
    </w:p>
    <w:p>
      <w:pPr>
        <w:pStyle w:val="Definition"/>
      </w:pPr>
      <w:r>
        <w:t xml:space="preserve">Application Programming Interface</w:t>
      </w:r>
    </w:p>
    <w:p>
      <w:pPr>
        <w:pStyle w:val="DefinitionTerm"/>
      </w:pPr>
      <w:r>
        <w:t xml:space="preserve">CI</w:t>
      </w:r>
    </w:p>
    <w:p>
      <w:pPr>
        <w:pStyle w:val="Definition"/>
      </w:pPr>
      <w:r>
        <w:t xml:space="preserve">Confidence Interval</w:t>
      </w:r>
    </w:p>
    <w:p>
      <w:pPr>
        <w:pStyle w:val="DefinitionTerm"/>
      </w:pPr>
      <w:r>
        <w:t xml:space="preserve">DOI</w:t>
      </w:r>
    </w:p>
    <w:p>
      <w:pPr>
        <w:pStyle w:val="Definition"/>
      </w:pPr>
      <w:r>
        <w:t xml:space="preserve">Digital Object Identifier</w:t>
      </w:r>
    </w:p>
    <w:p>
      <w:pPr>
        <w:pStyle w:val="DefinitionTerm"/>
      </w:pPr>
      <w:r>
        <w:t xml:space="preserve">FTS</w:t>
      </w:r>
    </w:p>
    <w:p>
      <w:pPr>
        <w:pStyle w:val="Definition"/>
      </w:pPr>
      <w:r>
        <w:t xml:space="preserve">Full-Text Search</w:t>
      </w:r>
    </w:p>
    <w:p>
      <w:pPr>
        <w:pStyle w:val="DefinitionTerm"/>
      </w:pPr>
      <w:r>
        <w:t xml:space="preserve">LLM</w:t>
      </w:r>
    </w:p>
    <w:p>
      <w:pPr>
        <w:pStyle w:val="Definition"/>
      </w:pPr>
      <w:r>
        <w:t xml:space="preserve">Large Language Model</w:t>
      </w:r>
    </w:p>
    <w:p>
      <w:pPr>
        <w:pStyle w:val="DefinitionTerm"/>
      </w:pPr>
      <w:r>
        <w:t xml:space="preserve">MRR</w:t>
      </w:r>
    </w:p>
    <w:p>
      <w:pPr>
        <w:pStyle w:val="Definition"/>
      </w:pPr>
      <w:r>
        <w:t xml:space="preserve">Mean Reciprocal Rank</w:t>
      </w:r>
    </w:p>
    <w:p>
      <w:pPr>
        <w:pStyle w:val="DefinitionTerm"/>
      </w:pPr>
      <w:r>
        <w:t xml:space="preserve">MVP</w:t>
      </w:r>
    </w:p>
    <w:p>
      <w:pPr>
        <w:pStyle w:val="Definition"/>
      </w:pPr>
      <w:r>
        <w:t xml:space="preserve">Minimum Viable Product</w:t>
      </w:r>
    </w:p>
    <w:p>
      <w:pPr>
        <w:pStyle w:val="DefinitionTerm"/>
      </w:pPr>
      <w:r>
        <w:t xml:space="preserve">nDCG</w:t>
      </w:r>
    </w:p>
    <w:p>
      <w:pPr>
        <w:pStyle w:val="Definition"/>
      </w:pPr>
      <w:r>
        <w:t xml:space="preserve">Normalized Discounted Cumulative Gain</w:t>
      </w:r>
    </w:p>
    <w:p>
      <w:pPr>
        <w:pStyle w:val="DefinitionTerm"/>
      </w:pPr>
      <w:r>
        <w:t xml:space="preserve">OCR</w:t>
      </w:r>
    </w:p>
    <w:p>
      <w:pPr>
        <w:pStyle w:val="Definition"/>
      </w:pPr>
      <w:r>
        <w:t xml:space="preserve">Optical Character Recognition</w:t>
      </w:r>
    </w:p>
    <w:p>
      <w:pPr>
        <w:pStyle w:val="DefinitionTerm"/>
      </w:pPr>
      <w:r>
        <w:t xml:space="preserve">PDF</w:t>
      </w:r>
    </w:p>
    <w:p>
      <w:pPr>
        <w:pStyle w:val="Definition"/>
      </w:pPr>
      <w:r>
        <w:t xml:space="preserve">Portable Document Format</w:t>
      </w:r>
    </w:p>
    <w:p>
      <w:pPr>
        <w:pStyle w:val="DefinitionTerm"/>
      </w:pPr>
      <w:r>
        <w:t xml:space="preserve">QA</w:t>
      </w:r>
    </w:p>
    <w:p>
      <w:pPr>
        <w:pStyle w:val="Definition"/>
      </w:pPr>
      <w:r>
        <w:t xml:space="preserve">Question Answering</w:t>
      </w:r>
    </w:p>
    <w:p>
      <w:pPr>
        <w:pStyle w:val="DefinitionTerm"/>
      </w:pPr>
      <w:r>
        <w:t xml:space="preserve">RAG</w:t>
      </w:r>
    </w:p>
    <w:p>
      <w:pPr>
        <w:pStyle w:val="Definition"/>
      </w:pPr>
      <w:r>
        <w:t xml:space="preserve">Retrieval-Augmented Generation</w:t>
      </w:r>
    </w:p>
    <w:p>
      <w:pPr>
        <w:pStyle w:val="DefinitionTerm"/>
      </w:pPr>
      <w:r>
        <w:t xml:space="preserve">RQ</w:t>
      </w:r>
    </w:p>
    <w:p>
      <w:pPr>
        <w:pStyle w:val="Definition"/>
      </w:pPr>
      <w:r>
        <w:t xml:space="preserve">Research Question</w:t>
      </w:r>
    </w:p>
    <w:p>
      <w:pPr>
        <w:pStyle w:val="DefinitionTerm"/>
      </w:pPr>
      <w:r>
        <w:t xml:space="preserve">TTLAB</w:t>
      </w:r>
    </w:p>
    <w:p>
      <w:pPr>
        <w:pStyle w:val="Definition"/>
      </w:pPr>
      <w:r>
        <w:t xml:space="preserve">Laboratory/project identifier used by the source archive and platform; no unverified acronym expansion is asserted</w:t>
      </w:r>
    </w:p>
    <w:p>
      <w:pPr>
        <w:pStyle w:val="DefinitionTerm"/>
      </w:pPr>
      <w:r>
        <w:t xml:space="preserve">UI</w:t>
      </w:r>
    </w:p>
    <w:p>
      <w:pPr>
        <w:pStyle w:val="Definition"/>
      </w:pPr>
      <w:r>
        <w:t xml:space="preserve">User Interface</w:t>
      </w:r>
    </w:p>
    <w:p>
      <w:pPr>
        <w:pStyle w:val="FirstParagraph"/>
        <w:sectPr>
          <w:headerReference w:type="default" r:id="rId268"/>
          <w:footerReference w:type="default" r:id="rId269"/>
          <w:pgSz w:h="16838" w:w="11906"/>
          <w:pgMar w:bottom="1587" w:footer="720" w:gutter="0" w:header="720" w:left="1587" w:right="1587" w:top="1587"/>
          <w:pgNumType w:fmt="lowerRoman" w:start="1"/>
          <w:titlePg/>
        </w:sectPr>
      </w:pPr>
    </w:p>
    <w:bookmarkEnd w:id="26"/>
    <w:bookmarkStart w:id="31" w:name="ch:introduction"/>
    <w:p>
      <w:pPr>
        <w:pStyle w:val="Heading1"/>
        <w:pageBreakBefore w:val="false"/>
      </w:pPr>
      <w:r>
        <w:rPr>
          <w:rStyle w:val="SectionNumber"/>
        </w:rPr>
        <w:t xml:space="preserve">1</w:t>
      </w:r>
      <w:r>
        <w:tab/>
      </w:r>
      <w:r>
        <w:t xml:space="preserve">Introduction</w:t>
      </w:r>
    </w:p>
    <w:p>
      <w:pPr>
        <w:pStyle w:val="FirstParagraph"/>
      </w:pPr>
      <w:r>
        <w:t xml:space="preserve">Laboratory publication pages answer a bibliographic question—what has been published—but place the remaining analytical burden on the reader. A student must locate accessible full text, compare methods and limitations, identify a feasible extension, and avoid mistaking a generated proposal for an author-stated research gap. Researchers and public or industry users face related problems when locating work by topic or identifying a possible collaborator. The TTLAB precursor automated publication collection and display, lay summarisation, notifications, and a manual podcast workflow, and identified RAG querying as future work</w:t>
      </w:r>
      <w:r>
        <w:t xml:space="preserve"> </w:t>
      </w:r>
      <w:r>
        <w:t xml:space="preserve">[1]</w:t>
      </w:r>
      <w:r>
        <w:t xml:space="preserve">. This project extends that direction from a publication archive into a full-text, source-traceable research-intelligence platform.</w:t>
      </w:r>
    </w:p>
    <w:p>
      <w:pPr>
        <w:pStyle w:val="BodyText"/>
      </w:pPr>
      <w:r>
        <w:t xml:space="preserve">The wider scholarly-discovery landscape includes autonomous citation indexing in CiteSeer</w:t>
      </w:r>
      <w:r>
        <w:t xml:space="preserve"> </w:t>
      </w:r>
      <w:r>
        <w:t xml:space="preserve">[2]</w:t>
      </w:r>
      <w:r>
        <w:t xml:space="preserve">, expert and topic mining in ArnetMiner</w:t>
      </w:r>
      <w:r>
        <w:t xml:space="preserve"> </w:t>
      </w:r>
      <w:r>
        <w:t xml:space="preserve">[3]</w:t>
      </w:r>
      <w:r>
        <w:t xml:space="preserve">, literature graphs and large corpora such as Semantic Scholar and S2ORC</w:t>
      </w:r>
      <w:r>
        <w:t xml:space="preserve"> </w:t>
      </w:r>
      <w:r>
        <w:t xml:space="preserve">[4], [5]</w:t>
      </w:r>
      <w:r>
        <w:t xml:space="preserve">, and open bibliographic infrastructure such as OpenAlex</w:t>
      </w:r>
      <w:r>
        <w:t xml:space="preserve"> </w:t>
      </w:r>
      <w:r>
        <w:t xml:space="preserve">[6]</w:t>
      </w:r>
      <w:r>
        <w:t xml:space="preserve">. These services demonstrate the value of linked scholarly metadata at scale. The present project addresses a narrower setting: a local laboratory corpus, full-text evidence with page and chunk locators, student-facing extension structures, public explanation, and explicit review state.</w:t>
      </w:r>
    </w:p>
    <w:p>
      <w:pPr>
        <w:pStyle w:val="BodyText"/>
      </w:pPr>
      <w:r>
        <w:t xml:space="preserve">RAG can condition generation on retrieved documents</w:t>
      </w:r>
      <w:r>
        <w:t xml:space="preserve"> </w:t>
      </w:r>
      <w:r>
        <w:t xml:space="preserve">[7]</w:t>
      </w:r>
      <w:r>
        <w:t xml:space="preserve">, but a citation-bearing interface is not itself proof of retrieval completeness, entailment, recommendation feasibility, or user benefit. This distinction motivates the thesis’s evidence boundary. Software tests establish implemented behavior. Corpus manifests establish coverage. Source-reviewed cases establish bounded empirical quality. Human usefulness, author endorsement, supervisor fit, and institutional approval require evidence that was not collected in this study. A second boundary separates the technical corpus used for lawful local engineering and offline evaluation from the independently approved public projection. The latter is empty in the audited snapshot; public endpoints therefore return an explicit no-public-evidence state rather than leaking or silently substituting technical records.</w:t>
      </w:r>
    </w:p>
    <w:bookmarkStart w:id="27" w:name="aim"/>
    <w:p>
      <w:pPr>
        <w:pStyle w:val="Heading2"/>
      </w:pPr>
      <w:r>
        <w:rPr>
          <w:rStyle w:val="SectionNumber"/>
        </w:rPr>
        <w:t xml:space="preserve">1.1</w:t>
      </w:r>
      <w:r>
        <w:tab/>
      </w:r>
      <w:r>
        <w:t xml:space="preserve">Aim</w:t>
      </w:r>
    </w:p>
    <w:p>
      <w:pPr>
        <w:pStyle w:val="FirstParagraph"/>
      </w:pPr>
      <w:r>
        <w:t xml:space="preserve">The aim is to design, implement, and reproducibly evaluate a source-traceable research-intelligence platform that converts a bounded laboratory publication snapshot into searchable full text, citation-bearing answers, evidence-separated thesis-extension suggestions, and reviewable topic/author relations, while making failures and evidential limits visible.</w:t>
      </w:r>
    </w:p>
    <w:bookmarkEnd w:id="27"/>
    <w:bookmarkStart w:id="28" w:name="objectives"/>
    <w:p>
      <w:pPr>
        <w:pStyle w:val="Heading2"/>
      </w:pPr>
      <w:r>
        <w:rPr>
          <w:rStyle w:val="SectionNumber"/>
        </w:rPr>
        <w:t xml:space="preserve">1.2</w:t>
      </w:r>
      <w:r>
        <w:tab/>
      </w:r>
      <w:r>
        <w:t xml:space="preserve">Objectives</w:t>
      </w:r>
    </w:p>
    <w:p>
      <w:pPr>
        <w:pStyle w:val="FirstParagraph"/>
      </w:pPr>
      <w:r>
        <w:t xml:space="preserve">The objectives were to:</w:t>
      </w:r>
    </w:p>
    <w:p>
      <w:pPr>
        <w:numPr>
          <w:ilvl w:val="0"/>
          <w:numId w:val="1001"/>
        </w:numPr>
      </w:pPr>
      <w:r>
        <w:t xml:space="preserve">construct a deterministic, page-aware pipeline from catalog records and permitted local PDFs to eligible chunks and authoritative indexes;</w:t>
      </w:r>
    </w:p>
    <w:p>
      <w:pPr>
        <w:numPr>
          <w:ilvl w:val="0"/>
          <w:numId w:val="1001"/>
        </w:numPr>
      </w:pPr>
      <w:r>
        <w:t xml:space="preserve">implement keyword, lexical feature-hashing, learned dense, and hybrid retrieval over one frozen corpus;</w:t>
      </w:r>
    </w:p>
    <w:p>
      <w:pPr>
        <w:numPr>
          <w:ilvl w:val="0"/>
          <w:numId w:val="1001"/>
        </w:numPr>
      </w:pPr>
      <w:r>
        <w:t xml:space="preserve">preserve source identifiers and review state through search, RAG, recommendation, generated-artifact, and user-interface workflows;</w:t>
      </w:r>
    </w:p>
    <w:p>
      <w:pPr>
        <w:numPr>
          <w:ilvl w:val="0"/>
          <w:numId w:val="1001"/>
        </w:numPr>
      </w:pPr>
      <w:r>
        <w:t xml:space="preserve">evaluate retrieval, claim support, citations, answer completeness, recommendation structure, controlled topics, author identity, generated outputs, and performance using persisted raw evidence;</w:t>
      </w:r>
    </w:p>
    <w:p>
      <w:pPr>
        <w:numPr>
          <w:ilvl w:val="0"/>
          <w:numId w:val="1001"/>
        </w:numPr>
      </w:pPr>
      <w:r>
        <w:t xml:space="preserve">implement review, privacy, authentication, security, accessibility, and data-freshness controls appropriate to a demonstrable public-facing prototype; and</w:t>
      </w:r>
    </w:p>
    <w:p>
      <w:pPr>
        <w:numPr>
          <w:ilvl w:val="0"/>
          <w:numId w:val="1001"/>
        </w:numPr>
      </w:pPr>
      <w:r>
        <w:t xml:space="preserve">provide one-command reproduction and a versioned sanitized release that excludes restricted full text and secrets.</w:t>
      </w:r>
    </w:p>
    <w:bookmarkEnd w:id="28"/>
    <w:bookmarkStart w:id="29" w:name="contributions"/>
    <w:p>
      <w:pPr>
        <w:pStyle w:val="Heading2"/>
      </w:pPr>
      <w:r>
        <w:rPr>
          <w:rStyle w:val="SectionNumber"/>
        </w:rPr>
        <w:t xml:space="preserve">1.3</w:t>
      </w:r>
      <w:r>
        <w:tab/>
      </w:r>
      <w:r>
        <w:t xml:space="preserve">Contributions</w:t>
      </w:r>
    </w:p>
    <w:p>
      <w:pPr>
        <w:pStyle w:val="FirstParagraph"/>
      </w:pPr>
      <w:r>
        <w:t xml:space="preserve">The thesis makes five bounded contributions:</w:t>
      </w:r>
    </w:p>
    <w:p>
      <w:pPr>
        <w:numPr>
          <w:ilvl w:val="0"/>
          <w:numId w:val="1002"/>
        </w:numPr>
      </w:pPr>
      <w:r>
        <w:t xml:space="preserve">a layered research-intelligence artefact joining deterministic acquisition, page-aware chunking, four retrieval modes, answer and recommendation workflows, controlled topic/author discovery, and attributable review;</w:t>
      </w:r>
    </w:p>
    <w:p>
      <w:pPr>
        <w:numPr>
          <w:ilvl w:val="0"/>
          <w:numId w:val="1002"/>
        </w:numPr>
      </w:pPr>
      <w:r>
        <w:t xml:space="preserve">an authoritative index-manifest design that binds corpus identity, ordered chunk/source hashes, model configuration, code commit, index hash, and completeness state, with atomic writes and fail-loud validation;</w:t>
      </w:r>
    </w:p>
    <w:p>
      <w:pPr>
        <w:numPr>
          <w:ilvl w:val="0"/>
          <w:numId w:val="1002"/>
        </w:numPr>
      </w:pPr>
      <w:r>
        <w:t xml:space="preserve">reproducible source-derived evaluation sets and raw outputs, with immutable historical v1 diagnosis separated from a prospectively frozen selective-QA, Finder, positive-only-topic, and OCR remediation protocol;</w:t>
      </w:r>
    </w:p>
    <w:p>
      <w:pPr>
        <w:numPr>
          <w:ilvl w:val="0"/>
          <w:numId w:val="1002"/>
        </w:numPr>
      </w:pPr>
      <w:r>
        <w:t xml:space="preserve">empirical evidence that simple keyword retrieval had the highest historical held-out point estimates in this corpus, without an equivalence claim for dense retrieval, together with prospective evidence about answerability, exact locator attribution, recommendation ranking, and known-positive topic coverage; and</w:t>
      </w:r>
    </w:p>
    <w:p>
      <w:pPr>
        <w:numPr>
          <w:ilvl w:val="0"/>
          <w:numId w:val="1002"/>
        </w:numPr>
      </w:pPr>
      <w:r>
        <w:t xml:space="preserve">an evidence-calibrated responsible-AI interface and sanitized release process that separates source facts, paper-stated future work, inference, suggestions, AI review, and external human validation.</w:t>
      </w:r>
    </w:p>
    <w:p>
      <w:pPr>
        <w:pStyle w:val="FirstParagraph"/>
      </w:pPr>
      <w:r>
        <w:t xml:space="preserve">No new retrieval algorithm, public-corpus effectiveness, human-validated recommendation benefit, researcher endorsement, production-scale capacity, or cross-institutional generalisation is claimed.</w:t>
      </w:r>
    </w:p>
    <w:bookmarkEnd w:id="29"/>
    <w:bookmarkStart w:id="30" w:name="thesis-structure"/>
    <w:p>
      <w:pPr>
        <w:pStyle w:val="Heading2"/>
      </w:pPr>
      <w:r>
        <w:rPr>
          <w:rStyle w:val="SectionNumber"/>
        </w:rPr>
        <w:t xml:space="preserve">1.4</w:t>
      </w:r>
      <w:r>
        <w:tab/>
      </w:r>
      <w:r>
        <w:t xml:space="preserve">Thesis structure</w:t>
      </w:r>
    </w:p>
    <w:p>
      <w:pPr>
        <w:pStyle w:val="FirstParagraph"/>
      </w:pPr>
      <w:hyperlink w:anchor="ch:problem">
        <w:r>
          <w:rPr>
            <w:rStyle w:val="Hyperlink"/>
          </w:rPr>
          <w:t xml:space="preserve">Chapter 2</w:t>
        </w:r>
      </w:hyperlink>
      <w:r>
        <w:t xml:space="preserve"> </w:t>
      </w:r>
      <w:r>
        <w:t xml:space="preserve">and</w:t>
      </w:r>
      <w:r>
        <w:t xml:space="preserve"> </w:t>
      </w:r>
      <w:hyperlink w:anchor="ch:rqs">
        <w:r>
          <w:rPr>
            <w:rStyle w:val="Hyperlink"/>
          </w:rPr>
          <w:t xml:space="preserve">Chapter 3</w:t>
        </w:r>
      </w:hyperlink>
      <w:r>
        <w:t xml:space="preserve"> </w:t>
      </w:r>
      <w:r>
        <w:t xml:space="preserve">define the problem and research questions.</w:t>
      </w:r>
      <w:r>
        <w:t xml:space="preserve"> </w:t>
      </w:r>
      <w:hyperlink w:anchor="ch:literature">
        <w:r>
          <w:rPr>
            <w:rStyle w:val="Hyperlink"/>
          </w:rPr>
          <w:t xml:space="preserve">Chapter 4</w:t>
        </w:r>
      </w:hyperlink>
      <w:r>
        <w:t xml:space="preserve"> </w:t>
      </w:r>
      <w:r>
        <w:t xml:space="preserve">positions the work.</w:t>
      </w:r>
      <w:r>
        <w:t xml:space="preserve"> </w:t>
      </w:r>
      <w:hyperlink w:anchor="ch:methodology">
        <w:r>
          <w:rPr>
            <w:rStyle w:val="Hyperlink"/>
          </w:rPr>
          <w:t xml:space="preserve">Chapter 5</w:t>
        </w:r>
      </w:hyperlink>
      <w:r>
        <w:t xml:space="preserve">,</w:t>
      </w:r>
      <w:r>
        <w:t xml:space="preserve"> </w:t>
      </w:r>
      <w:hyperlink w:anchor="ch:architecture">
        <w:r>
          <w:rPr>
            <w:rStyle w:val="Hyperlink"/>
          </w:rPr>
          <w:t xml:space="preserve">Chapter 6</w:t>
        </w:r>
      </w:hyperlink>
      <w:r>
        <w:t xml:space="preserve">,</w:t>
      </w:r>
      <w:r>
        <w:t xml:space="preserve"> </w:t>
      </w:r>
      <w:hyperlink w:anchor="ch:data">
        <w:r>
          <w:rPr>
            <w:rStyle w:val="Hyperlink"/>
          </w:rPr>
          <w:t xml:space="preserve">Chapter 7</w:t>
        </w:r>
      </w:hyperlink>
      <w:r>
        <w:t xml:space="preserve">, and</w:t>
      </w:r>
      <w:r>
        <w:t xml:space="preserve"> </w:t>
      </w:r>
      <w:hyperlink w:anchor="ch:implementation">
        <w:r>
          <w:rPr>
            <w:rStyle w:val="Hyperlink"/>
          </w:rPr>
          <w:t xml:space="preserve">Chapter 8</w:t>
        </w:r>
      </w:hyperlink>
      <w:r>
        <w:t xml:space="preserve"> </w:t>
      </w:r>
      <w:r>
        <w:t xml:space="preserve">describe the executed study, system, corpus, and implementation.</w:t>
      </w:r>
      <w:r>
        <w:t xml:space="preserve"> </w:t>
      </w:r>
      <w:hyperlink w:anchor="ch:experiments">
        <w:r>
          <w:rPr>
            <w:rStyle w:val="Hyperlink"/>
          </w:rPr>
          <w:t xml:space="preserve">Chapter 9</w:t>
        </w:r>
      </w:hyperlink>
      <w:r>
        <w:t xml:space="preserve"> </w:t>
      </w:r>
      <w:r>
        <w:t xml:space="preserve">and</w:t>
      </w:r>
      <w:r>
        <w:t xml:space="preserve"> </w:t>
      </w:r>
      <w:hyperlink w:anchor="ch:results">
        <w:r>
          <w:rPr>
            <w:rStyle w:val="Hyperlink"/>
          </w:rPr>
          <w:t xml:space="preserve">Chapter 10</w:t>
        </w:r>
      </w:hyperlink>
      <w:r>
        <w:t xml:space="preserve"> </w:t>
      </w:r>
      <w:r>
        <w:t xml:space="preserve">define and report the controlled evaluations.</w:t>
      </w:r>
      <w:r>
        <w:t xml:space="preserve"> </w:t>
      </w:r>
      <w:hyperlink w:anchor="ch:discussion">
        <w:r>
          <w:rPr>
            <w:rStyle w:val="Hyperlink"/>
          </w:rPr>
          <w:t xml:space="preserve">Chapter 11</w:t>
        </w:r>
      </w:hyperlink>
      <w:r>
        <w:t xml:space="preserve">,</w:t>
      </w:r>
      <w:r>
        <w:t xml:space="preserve"> </w:t>
      </w:r>
      <w:hyperlink w:anchor="ch:limitations">
        <w:r>
          <w:rPr>
            <w:rStyle w:val="Hyperlink"/>
          </w:rPr>
          <w:t xml:space="preserve">Chapter 12</w:t>
        </w:r>
      </w:hyperlink>
      <w:r>
        <w:t xml:space="preserve">, and</w:t>
      </w:r>
      <w:r>
        <w:t xml:space="preserve"> </w:t>
      </w:r>
      <w:hyperlink w:anchor="ch:conclusion">
        <w:r>
          <w:rPr>
            <w:rStyle w:val="Hyperlink"/>
          </w:rPr>
          <w:t xml:space="preserve">Chapter 13</w:t>
        </w:r>
      </w:hyperlink>
      <w:r>
        <w:t xml:space="preserve"> </w:t>
      </w:r>
      <w:r>
        <w:t xml:space="preserve">interpret the findings, state threats and governance boundaries, and answer RQ1–RQ7. The appendices provide the complete RQ traceability matrix, reproduction commands, schema/API summary, and executed AI-review instruments.</w:t>
      </w:r>
    </w:p>
    <w:bookmarkEnd w:id="30"/>
    <w:bookmarkEnd w:id="31"/>
    <w:bookmarkStart w:id="37" w:name="ch:problem"/>
    <w:p>
      <w:pPr>
        <w:pStyle w:val="Heading1"/>
      </w:pPr>
      <w:r>
        <w:rPr>
          <w:rStyle w:val="SectionNumber"/>
        </w:rPr>
        <w:t xml:space="preserve">2</w:t>
      </w:r>
      <w:r>
        <w:tab/>
      </w:r>
      <w:r>
        <w:t xml:space="preserve">Problem Statement</w:t>
      </w:r>
    </w:p>
    <w:p>
      <w:pPr>
        <w:pStyle w:val="FirstParagraph"/>
      </w:pPr>
      <w:r>
        <w:t xml:space="preserve">The practical problem is a mismatch between a publication archive and the questions its users need answered. A student may ask which paper matches a set of interests and constraints, what the paper actually did, which extension is new system advice, and how the extension could be evaluated. A researcher may want an accurate technical or public summary. A public or industry user may seek publications related to a problem or authors whose indexed work provides evidence of a possible connection. These answers require evidence distributed across full papers, metadata, authorship relations, and generated interpretation.</w:t>
      </w:r>
    </w:p>
    <w:p>
      <w:pPr>
        <w:pStyle w:val="BodyText"/>
      </w:pPr>
      <w:r>
        <w:t xml:space="preserve">Four risks make a naive archive chatbot unsuitable. First, metadata-only retrieval omits methods, results, limitations, and future work present only in the paper body. Second, PDF acquisition and extraction can silently introduce missing text, scanned pages, malformed metadata, or document-identity errors. Third, generation can merge retrieved facts with inferred gaps and novel suggestions. Fourth, a polished interface can conceal incomplete indexes, weak abstention, low answer coverage, unresolved identities, or unreviewed outputs. RAG supplies evidence to a generator</w:t>
      </w:r>
      <w:r>
        <w:t xml:space="preserve"> </w:t>
      </w:r>
      <w:r>
        <w:t xml:space="preserve">[7]</w:t>
      </w:r>
      <w:r>
        <w:t xml:space="preserve">; it does not eliminate these risks.</w:t>
      </w:r>
    </w:p>
    <w:p>
      <w:pPr>
        <w:pStyle w:val="BodyText"/>
      </w:pPr>
      <w:r>
        <w:t xml:space="preserve">The research problem is therefore:</w:t>
      </w:r>
    </w:p>
    <w:p>
      <w:pPr>
        <w:pStyle w:val="BlockText"/>
      </w:pPr>
      <w:r>
        <w:t xml:space="preserve">How can a small, locally operated system transform a laboratory publication snapshot into a reproducible and inspectable research-intelligence workflow in which full-text evidence, generated interpretation, review state, evaluation state, and residual uncertainty remain distinguishable?</w:t>
      </w:r>
    </w:p>
    <w:bookmarkStart w:id="33" w:name="stakeholders-and-failure-consequences"/>
    <w:p>
      <w:pPr>
        <w:pStyle w:val="Heading2"/>
      </w:pPr>
      <w:r>
        <w:rPr>
          <w:rStyle w:val="SectionNumber"/>
        </w:rPr>
        <w:t xml:space="preserve">2.1</w:t>
      </w:r>
      <w:r>
        <w:tab/>
      </w:r>
      <w:r>
        <w:t xml:space="preserve">Stakeholders and failure consequences</w:t>
      </w:r>
    </w:p>
    <w:p>
      <w:pPr>
        <w:pStyle w:val="FirstParagraph"/>
      </w:pPr>
      <w:r>
        <w:t xml:space="preserve">The task/risk mapping in</w:t>
      </w:r>
      <w:r>
        <w:t xml:space="preserve"> </w:t>
      </w:r>
      <w:hyperlink w:anchor="tab:stakeholders">
        <w:r>
          <w:rPr>
            <w:rStyle w:val="Hyperlink"/>
          </w:rPr>
          <w:t xml:space="preserve">Table 2.1</w:t>
        </w:r>
      </w:hyperlink>
      <w:r>
        <w:t xml:space="preserve"> </w:t>
      </w:r>
      <w:r>
        <w:t xml:space="preserve">determines which evidence and warnings each interface must expose.</w:t>
      </w:r>
    </w:p>
    <w:bookmarkStart w:id="32" w:name="tab:stakeholders"/>
    <w:p>
      <w:pPr>
        <w:pStyle w:val="TableCaption"/>
      </w:pPr>
      <w:r>
        <w:t xml:space="preserve">Table 2.1. Stakeholders, tasks, and principal failure risks.</w:t>
      </w:r>
    </w:p>
    <w:tbl>
      <w:tblPr>
        <w:tblStyle w:val="Table"/>
        <w:tblW w:type="auto" w:w="0"/>
        <w:tblLook w:firstRow="1" w:lastRow="0" w:firstColumn="0" w:lastColumn="0" w:noHBand="0" w:noVBand="0" w:val="0020"/>
        <w:jc w:val="start"/>
        <w:tblCaption w:val="Table 2.1. Stakeholders, tasks, and principal failure risks."/>
      </w:tblPr>
      <w:tblGrid>
        <w:gridCol w:w="2640"/>
        <w:gridCol w:w="2640"/>
        <w:gridCol w:w="2640"/>
      </w:tblGrid>
      <w:tr>
        <w:trPr>
          <w:tblHeader w:val="true"/>
          <w:cantSplit/>
        </w:trPr>
        <w:tc>
          <w:tcPr/>
          <w:p>
            <w:pPr>
              <w:pStyle w:val="Compact"/>
              <w:jc w:val="left"/>
            </w:pPr>
            <w:r>
              <w:t xml:space="preserve">Stakeholder</w:t>
            </w:r>
          </w:p>
        </w:tc>
        <w:tc>
          <w:tcPr/>
          <w:p>
            <w:pPr>
              <w:pStyle w:val="Compact"/>
              <w:jc w:val="left"/>
            </w:pPr>
            <w:r>
              <w:t xml:space="preserve">Primary task</w:t>
            </w:r>
          </w:p>
        </w:tc>
        <w:tc>
          <w:tcPr/>
          <w:p>
            <w:pPr>
              <w:pStyle w:val="Compact"/>
              <w:jc w:val="left"/>
            </w:pPr>
            <w:r>
              <w:t xml:space="preserve">Principal risk</w:t>
            </w:r>
          </w:p>
        </w:tc>
      </w:tr>
      <w:tr>
        <w:trPr>
          <w:cantSplit/>
        </w:trPr>
        <w:tc>
          <w:tcPr/>
          <w:p>
            <w:pPr>
              <w:pStyle w:val="Compact"/>
              <w:jc w:val="left"/>
            </w:pPr>
            <w:r>
              <w:t xml:space="preserve">Student</w:t>
            </w:r>
          </w:p>
        </w:tc>
        <w:tc>
          <w:tcPr/>
          <w:p>
            <w:pPr>
              <w:pStyle w:val="Compact"/>
              <w:jc w:val="left"/>
            </w:pPr>
            <w:r>
              <w:t xml:space="preserve">find papers and scope a feasible extension</w:t>
            </w:r>
          </w:p>
        </w:tc>
        <w:tc>
          <w:tcPr/>
          <w:p>
            <w:pPr>
              <w:pStyle w:val="Compact"/>
              <w:jc w:val="left"/>
            </w:pPr>
            <w:r>
              <w:t xml:space="preserve">system suggestion presented as source fact, or feasibility presented as validated</w:t>
            </w:r>
          </w:p>
        </w:tc>
      </w:tr>
      <w:tr>
        <w:trPr>
          <w:cantSplit/>
        </w:trPr>
        <w:tc>
          <w:tcPr/>
          <w:p>
            <w:pPr>
              <w:pStyle w:val="Compact"/>
              <w:jc w:val="left"/>
            </w:pPr>
            <w:r>
              <w:t xml:space="preserve">Researcher</w:t>
            </w:r>
          </w:p>
        </w:tc>
        <w:tc>
          <w:tcPr/>
          <w:p>
            <w:pPr>
              <w:pStyle w:val="Compact"/>
              <w:jc w:val="left"/>
            </w:pPr>
            <w:r>
              <w:t xml:space="preserve">improve discoverability and explanation</w:t>
            </w:r>
          </w:p>
        </w:tc>
        <w:tc>
          <w:tcPr/>
          <w:p>
            <w:pPr>
              <w:pStyle w:val="Compact"/>
              <w:jc w:val="left"/>
            </w:pPr>
            <w:r>
              <w:t xml:space="preserve">inaccurate, incomplete, or decontextualised representation</w:t>
            </w:r>
          </w:p>
        </w:tc>
      </w:tr>
      <w:tr>
        <w:trPr>
          <w:cantSplit/>
        </w:trPr>
        <w:tc>
          <w:tcPr/>
          <w:p>
            <w:pPr>
              <w:pStyle w:val="Compact"/>
              <w:jc w:val="left"/>
            </w:pPr>
            <w:r>
              <w:t xml:space="preserve">Public/industry user</w:t>
            </w:r>
          </w:p>
        </w:tc>
        <w:tc>
          <w:tcPr/>
          <w:p>
            <w:pPr>
              <w:pStyle w:val="Compact"/>
              <w:jc w:val="left"/>
            </w:pPr>
            <w:r>
              <w:t xml:space="preserve">connect a problem to papers or people</w:t>
            </w:r>
          </w:p>
        </w:tc>
        <w:tc>
          <w:tcPr/>
          <w:p>
            <w:pPr>
              <w:pStyle w:val="Compact"/>
              <w:jc w:val="left"/>
            </w:pPr>
            <w:r>
              <w:t xml:space="preserve">publication-derived topic relation presented as endorsement or current availability</w:t>
            </w:r>
          </w:p>
        </w:tc>
      </w:tr>
      <w:tr>
        <w:trPr>
          <w:cantSplit/>
        </w:trPr>
        <w:tc>
          <w:tcPr/>
          <w:p>
            <w:pPr>
              <w:pStyle w:val="Compact"/>
              <w:jc w:val="left"/>
            </w:pPr>
            <w:r>
              <w:t xml:space="preserve">Reviewer/admin</w:t>
            </w:r>
          </w:p>
        </w:tc>
        <w:tc>
          <w:tcPr/>
          <w:p>
            <w:pPr>
              <w:pStyle w:val="Compact"/>
              <w:jc w:val="left"/>
            </w:pPr>
            <w:r>
              <w:t xml:space="preserve">correct metadata and generated outputs</w:t>
            </w:r>
          </w:p>
        </w:tc>
        <w:tc>
          <w:tcPr/>
          <w:p>
            <w:pPr>
              <w:pStyle w:val="Compact"/>
              <w:jc w:val="left"/>
            </w:pPr>
            <w:r>
              <w:t xml:space="preserve">unauthorised mutation, unattributed decisions, or AI review confused with approval</w:t>
            </w:r>
          </w:p>
        </w:tc>
      </w:tr>
      <w:tr>
        <w:trPr>
          <w:cantSplit/>
        </w:trPr>
        <w:tc>
          <w:tcPr/>
          <w:p>
            <w:pPr>
              <w:pStyle w:val="Compact"/>
              <w:jc w:val="left"/>
            </w:pPr>
            <w:r>
              <w:t xml:space="preserve">Evaluator</w:t>
            </w:r>
          </w:p>
        </w:tc>
        <w:tc>
          <w:tcPr/>
          <w:p>
            <w:pPr>
              <w:pStyle w:val="Compact"/>
              <w:jc w:val="left"/>
            </w:pPr>
            <w:r>
              <w:t xml:space="preserve">assess retrieval, grounding, and usefulness</w:t>
            </w:r>
          </w:p>
        </w:tc>
        <w:tc>
          <w:tcPr/>
          <w:p>
            <w:pPr>
              <w:pStyle w:val="Compact"/>
              <w:jc w:val="left"/>
            </w:pPr>
            <w:r>
              <w:t xml:space="preserve">coverage or structural traceability mistaken for quality</w:t>
            </w:r>
          </w:p>
        </w:tc>
      </w:tr>
    </w:tbl>
    <w:bookmarkEnd w:id="32"/>
    <w:bookmarkEnd w:id="33"/>
    <w:bookmarkStart w:id="34" w:name="scope"/>
    <w:p>
      <w:pPr>
        <w:pStyle w:val="Heading2"/>
      </w:pPr>
      <w:r>
        <w:rPr>
          <w:rStyle w:val="SectionNumber"/>
        </w:rPr>
        <w:t xml:space="preserve">2.2</w:t>
      </w:r>
      <w:r>
        <w:tab/>
      </w:r>
      <w:r>
        <w:t xml:space="preserve">Scope</w:t>
      </w:r>
    </w:p>
    <w:p>
      <w:pPr>
        <w:pStyle w:val="FirstParagraph"/>
      </w:pPr>
      <w:r>
        <w:t xml:space="preserve">The implemented scope comprises a 134-record catalog; permitted local PDFs; deterministic and optional OCR-aware extraction; page-aware chunks; SQLite persistence; React/Vite presentation; FastAPI services; keyword, feature-hashing, learned dense, and hybrid retrieval; an offline extractive answerer and optional local Ollama adapter; an evaluated evidence-only/full structured Finder; a public conversational Idea Generator; controlled topic/author discovery; generated summaries and text podcast scripts; local account and service-actor administration; AI and human review states; and offline evaluation. The technical corpus supports authorized local processing; an independent paper-level publication/rights/extraction gate determines the production public projection. A separately labelled loopback-only demo may expose technically eligible records without turning them into approved public records.</w:t>
      </w:r>
    </w:p>
    <w:p>
      <w:pPr>
        <w:pStyle w:val="BodyText"/>
      </w:pPr>
      <w:r>
        <w:t xml:space="preserve">The study does not include unrestricted crawling, paywall bypass, hosted proprietary generation, participant recruitment, supervisor validation, researcher endorsement, audio synthesis, capacity/load testing, or production deployment. The optional OCR path is implemented and exercised by a deterministic raster-only fixture, but the corpus records no OCR-completed pages; fixture error is not corpus OCR accuracy. The platform name uses the laboratory identifier present in repository and archive evidence without asserting an unverified acronym expansion.</w:t>
      </w:r>
    </w:p>
    <w:bookmarkEnd w:id="34"/>
    <w:bookmarkStart w:id="35" w:name="operational-definitions"/>
    <w:p>
      <w:pPr>
        <w:pStyle w:val="Heading2"/>
      </w:pPr>
      <w:r>
        <w:rPr>
          <w:rStyle w:val="SectionNumber"/>
        </w:rPr>
        <w:t xml:space="preserve">2.3</w:t>
      </w:r>
      <w:r>
        <w:tab/>
      </w:r>
      <w:r>
        <w:t xml:space="preserve">Operational definitions</w:t>
      </w:r>
    </w:p>
    <w:p>
      <w:pPr>
        <w:pStyle w:val="FirstParagraph"/>
      </w:pPr>
      <w:r>
        <w:rPr>
          <w:iCs/>
          <w:i/>
        </w:rPr>
        <w:t xml:space="preserve">Source-traceable</w:t>
      </w:r>
      <w:r>
        <w:t xml:space="preserve"> </w:t>
      </w:r>
      <w:r>
        <w:t xml:space="preserve">means that an output retains persistent paper, chunk, page/section, provider/model/configuration, corpus/generation, timestamp, warning, and review-state fields.</w:t>
      </w:r>
      <w:r>
        <w:t xml:space="preserve"> </w:t>
      </w:r>
      <w:r>
        <w:rPr>
          <w:iCs/>
          <w:i/>
        </w:rPr>
        <w:t xml:space="preserve">Structurally grounded</w:t>
      </w:r>
      <w:r>
        <w:t xml:space="preserve"> </w:t>
      </w:r>
      <w:r>
        <w:t xml:space="preserve">means required citation fields and current retrieved-chunk membership pass deterministic checks. Neither term is synonymous with factual correctness or entailment.</w:t>
      </w:r>
      <w:r>
        <w:t xml:space="preserve"> </w:t>
      </w:r>
      <w:r>
        <w:rPr>
          <w:iCs/>
          <w:i/>
        </w:rPr>
        <w:t xml:space="preserve">AI-reviewed silver</w:t>
      </w:r>
      <w:r>
        <w:t xml:space="preserve"> </w:t>
      </w:r>
      <w:r>
        <w:t xml:space="preserve">denotes labels created and verified in two passes by the same declared AI reviewer process; it is not human gold data or human inter-rater agreement.</w:t>
      </w:r>
      <w:r>
        <w:t xml:space="preserve"> </w:t>
      </w:r>
      <w:r>
        <w:rPr>
          <w:iCs/>
          <w:i/>
        </w:rPr>
        <w:t xml:space="preserve">Eligible technical corpus</w:t>
      </w:r>
      <w:r>
        <w:t xml:space="preserve"> </w:t>
      </w:r>
      <w:r>
        <w:t xml:space="preserve">denotes records with verified generation-linked PDF/text/chunk identity under frozen inclusion rules.</w:t>
      </w:r>
      <w:r>
        <w:t xml:space="preserve"> </w:t>
      </w:r>
      <w:r>
        <w:rPr>
          <w:iCs/>
          <w:i/>
        </w:rPr>
        <w:t xml:space="preserve">Public projection</w:t>
      </w:r>
      <w:r>
        <w:t xml:space="preserve"> </w:t>
      </w:r>
      <w:r>
        <w:t xml:space="preserve">denotes the independently approved subset whose review, publication, rights, access, extraction, and public-index generation states all permit anonymous delivery.</w:t>
      </w:r>
    </w:p>
    <w:bookmarkEnd w:id="35"/>
    <w:bookmarkStart w:id="36" w:name="success-criteria"/>
    <w:p>
      <w:pPr>
        <w:pStyle w:val="Heading2"/>
      </w:pPr>
      <w:r>
        <w:rPr>
          <w:rStyle w:val="SectionNumber"/>
        </w:rPr>
        <w:t xml:space="preserve">2.4</w:t>
      </w:r>
      <w:r>
        <w:tab/>
      </w:r>
      <w:r>
        <w:t xml:space="preserve">Success criteria</w:t>
      </w:r>
    </w:p>
    <w:p>
      <w:pPr>
        <w:pStyle w:val="FirstParagraph"/>
      </w:pPr>
      <w:r>
        <w:t xml:space="preserve">Engineering success requires deterministic processing, complete authoritative indexes for every eligible chunk, stable provenance fields, explicit degraded states, protected review mutations, reproducible builds, and a sanitized release. Empirical success is evaluated separately: retrieval quality relative to baselines, atomic claim support, citation correctness and completeness, answer-point coverage, abstention, recommendation proxy criteria, controlled-topic performance, section-label quality, review consistency, and bounded performance. Human usefulness remains outside the evidential scope.</w:t>
      </w:r>
    </w:p>
    <w:bookmarkEnd w:id="36"/>
    <w:bookmarkEnd w:id="37"/>
    <w:bookmarkStart w:id="42" w:name="ch:rqs"/>
    <w:p>
      <w:pPr>
        <w:pStyle w:val="Heading1"/>
      </w:pPr>
      <w:r>
        <w:rPr>
          <w:rStyle w:val="SectionNumber"/>
        </w:rPr>
        <w:t xml:space="preserve">3</w:t>
      </w:r>
      <w:r>
        <w:tab/>
      </w:r>
      <w:r>
        <w:t xml:space="preserve">Research Questions and Objectives</w:t>
      </w:r>
    </w:p>
    <w:p>
      <w:pPr>
        <w:pStyle w:val="FirstParagraph"/>
      </w:pPr>
      <w:r>
        <w:t xml:space="preserve">The research questions separate data integrity, retrieval, answer quality, recommendation, discovery/review, reproduction, and interface governance. The earlier five-question structure overloaded recommendation with topic/identity review and combined reproducibility with human-interface claims. Seven questions now give each construct a primary outcome and an explicit evidence boundary.</w:t>
      </w:r>
    </w:p>
    <w:p>
      <w:pPr>
        <w:pStyle w:val="DefinitionTerm"/>
      </w:pPr>
      <w:r>
        <w:t xml:space="preserve">RQ1</w:t>
      </w:r>
    </w:p>
    <w:p>
      <w:pPr>
        <w:pStyle w:val="Definition"/>
      </w:pPr>
      <w:r>
        <w:t xml:space="preserve">With what coverage, structural quality, and observable failure modes can the catalogue snapshot be transformed into an eligible page-aware corpus and complete authoritative indexes?</w:t>
      </w:r>
    </w:p>
    <w:p>
      <w:pPr>
        <w:pStyle w:val="DefinitionTerm"/>
      </w:pPr>
      <w:r>
        <w:t xml:space="preserve">RQ2</w:t>
      </w:r>
    </w:p>
    <w:p>
      <w:pPr>
        <w:pStyle w:val="Definition"/>
      </w:pPr>
      <w:r>
        <w:t xml:space="preserve">How do keyword, feature-hashing, learned dense, heuristic hybrid, and development-tuned hybrid retrieval compare on held-out source-derived questions, and which heuristic terms materially change rankings?</w:t>
      </w:r>
    </w:p>
    <w:p>
      <w:pPr>
        <w:pStyle w:val="DefinitionTerm"/>
      </w:pPr>
      <w:r>
        <w:t xml:space="preserve">RQ3</w:t>
      </w:r>
    </w:p>
    <w:p>
      <w:pPr>
        <w:pStyle w:val="Definition"/>
      </w:pPr>
      <w:r>
        <w:t xml:space="preserve">To what extent does the offline extractive answerer produce source-supported claims, correct claim–citation links, answer-point coverage, and appropriate abstention?</w:t>
      </w:r>
    </w:p>
    <w:p>
      <w:pPr>
        <w:pStyle w:val="DefinitionTerm"/>
      </w:pPr>
      <w:r>
        <w:t xml:space="preserve">RQ4</w:t>
      </w:r>
    </w:p>
    <w:p>
      <w:pPr>
        <w:pStyle w:val="Definition"/>
      </w:pPr>
      <w:r>
        <w:t xml:space="preserve">Relative to an evidence-only baseline, what does AI-assisted proxy review reveal about the Thesis Extension Finder’s relevance, source/suggestion separation, feasibility, scope, risk, and evaluation-plan quality?</w:t>
      </w:r>
    </w:p>
    <w:p>
      <w:pPr>
        <w:pStyle w:val="DefinitionTerm"/>
      </w:pPr>
      <w:r>
        <w:t xml:space="preserve">RQ5</w:t>
      </w:r>
    </w:p>
    <w:p>
      <w:pPr>
        <w:pStyle w:val="Definition"/>
      </w:pPr>
      <w:r>
        <w:t xml:space="preserve">What quality and governance limits remain in controlled topic assignment, publication-derived author links, identity handling, and persisted generated-output review?</w:t>
      </w:r>
    </w:p>
    <w:p>
      <w:pPr>
        <w:pStyle w:val="DefinitionTerm"/>
      </w:pPr>
      <w:r>
        <w:t xml:space="preserve">RQ6</w:t>
      </w:r>
    </w:p>
    <w:p>
      <w:pPr>
        <w:pStyle w:val="Definition"/>
      </w:pPr>
      <w:r>
        <w:t xml:space="preserve">To what extent can the bounded artefact and sanitized evidence package be reproduced and operationally characterized on documented local hardware, and what external format compatibility is demonstrated?</w:t>
      </w:r>
    </w:p>
    <w:p>
      <w:pPr>
        <w:pStyle w:val="DefinitionTerm"/>
      </w:pPr>
      <w:r>
        <w:t xml:space="preserve">RQ7</w:t>
      </w:r>
    </w:p>
    <w:p>
      <w:pPr>
        <w:pStyle w:val="Definition"/>
      </w:pPr>
      <w:r>
        <w:t xml:space="preserve">To what extent do the implemented public and protected interfaces preserve evidence, uncertainty, privacy, authentication, correction, failure recovery, and automated accessibility contracts?</w:t>
      </w:r>
    </w:p>
    <w:bookmarkStart w:id="38" w:name="research-objectives"/>
    <w:p>
      <w:pPr>
        <w:pStyle w:val="Heading2"/>
      </w:pPr>
      <w:r>
        <w:rPr>
          <w:rStyle w:val="SectionNumber"/>
        </w:rPr>
        <w:t xml:space="preserve">3.1</w:t>
      </w:r>
      <w:r>
        <w:tab/>
      </w:r>
      <w:r>
        <w:t xml:space="preserve">Research objectives</w:t>
      </w:r>
    </w:p>
    <w:p>
      <w:pPr>
        <w:pStyle w:val="FirstParagraph"/>
      </w:pPr>
      <w:r>
        <w:t xml:space="preserve">The questions correspond to seven objectives:</w:t>
      </w:r>
    </w:p>
    <w:p>
      <w:pPr>
        <w:numPr>
          <w:ilvl w:val="0"/>
          <w:numId w:val="1003"/>
        </w:numPr>
      </w:pPr>
      <w:r>
        <w:t xml:space="preserve">establish one authoritative corpus/index boundary that fails loudly on missing, mismatched, partial, or stale state;</w:t>
      </w:r>
    </w:p>
    <w:p>
      <w:pPr>
        <w:numPr>
          <w:ilvl w:val="0"/>
          <w:numId w:val="1003"/>
        </w:numPr>
      </w:pPr>
      <w:r>
        <w:t xml:space="preserve">compare retrieval families under one controlled split, with tuning and post-selection analysis clearly separated;</w:t>
      </w:r>
    </w:p>
    <w:p>
      <w:pPr>
        <w:numPr>
          <w:ilvl w:val="0"/>
          <w:numId w:val="1003"/>
        </w:numPr>
      </w:pPr>
      <w:r>
        <w:t xml:space="preserve">evaluate answer support, attribution, completeness, and selective response as distinct constructs;</w:t>
      </w:r>
    </w:p>
    <w:p>
      <w:pPr>
        <w:numPr>
          <w:ilvl w:val="0"/>
          <w:numId w:val="1003"/>
        </w:numPr>
      </w:pPr>
      <w:r>
        <w:t xml:space="preserve">implement and evaluate a thesis-extension workflow that keeps paper facts and system advice separate;</w:t>
      </w:r>
    </w:p>
    <w:p>
      <w:pPr>
        <w:numPr>
          <w:ilvl w:val="0"/>
          <w:numId w:val="1003"/>
        </w:numPr>
      </w:pPr>
      <w:r>
        <w:t xml:space="preserve">provide inspectable topic/author discovery and attributable generated-output correction without unsafe identity or approval claims;</w:t>
      </w:r>
    </w:p>
    <w:p>
      <w:pPr>
        <w:numPr>
          <w:ilvl w:val="0"/>
          <w:numId w:val="1003"/>
        </w:numPr>
      </w:pPr>
      <w:r>
        <w:t xml:space="preserve">bind code, corpus, model, experiment, document, and release evidence while characterizing local operational cost and external-format limits; and</w:t>
      </w:r>
    </w:p>
    <w:p>
      <w:pPr>
        <w:numPr>
          <w:ilvl w:val="0"/>
          <w:numId w:val="1003"/>
        </w:numPr>
      </w:pPr>
      <w:r>
        <w:t xml:space="preserve">trace user-facing requirements through APIs, interface states, protected mutations, and automated tests without treating software verification as human usability evidence.</w:t>
      </w:r>
    </w:p>
    <w:bookmarkEnd w:id="38"/>
    <w:bookmarkStart w:id="40" w:name="research-question-design"/>
    <w:p>
      <w:pPr>
        <w:pStyle w:val="Heading2"/>
      </w:pPr>
      <w:r>
        <w:rPr>
          <w:rStyle w:val="SectionNumber"/>
        </w:rPr>
        <w:t xml:space="preserve">3.2</w:t>
      </w:r>
      <w:r>
        <w:tab/>
      </w:r>
      <w:r>
        <w:t xml:space="preserve">Research-question design</w:t>
      </w:r>
    </w:p>
    <w:p>
      <w:pPr>
        <w:pStyle w:val="FirstParagraph"/>
      </w:pPr>
      <w:hyperlink w:anchor="tab:rq-plan">
        <w:r>
          <w:rPr>
            <w:rStyle w:val="Hyperlink"/>
          </w:rPr>
          <w:t xml:space="preserve">Table 3.1</w:t>
        </w:r>
      </w:hyperlink>
      <w:r>
        <w:t xml:space="preserve"> </w:t>
      </w:r>
      <w:r>
        <w:t xml:space="preserve">states the authoritative evidence and bounded conclusion type for each question. Its purpose is to prevent evidence migration: an inventory count cannot prove effectiveness, an AI-proxy review cannot prove student benefit, and a passing interface test cannot prove accessibility conformance.</w:t>
      </w:r>
    </w:p>
    <w:bookmarkStart w:id="39" w:name="tab:rq-plan"/>
    <w:p>
      <w:pPr>
        <w:pStyle w:val="TableCaption"/>
      </w:pPr>
      <w:r>
        <w:t xml:space="preserve">Table 3.1. Research questions connected to executed method, evidence, and conclusion type.</w:t>
      </w:r>
    </w:p>
    <w:tbl>
      <w:tblPr>
        <w:tblStyle w:val="Table"/>
        <w:tblW w:type="auto" w:w="0"/>
        <w:tblLook w:firstRow="1" w:lastRow="0" w:firstColumn="0" w:lastColumn="0" w:noHBand="0" w:noVBand="0" w:val="0020"/>
        <w:jc w:val="start"/>
        <w:tblCaption w:val="Table 3.1. Research questions connected to executed method, evidence, and conclusion type."/>
      </w:tblPr>
      <w:tblGrid>
        <w:gridCol w:w="1980"/>
        <w:gridCol w:w="1980"/>
        <w:gridCol w:w="1980"/>
        <w:gridCol w:w="1980"/>
      </w:tblGrid>
      <w:tr>
        <w:trPr>
          <w:tblHeader w:val="true"/>
          <w:cantSplit/>
        </w:trPr>
        <w:tc>
          <w:tcPr/>
          <w:p>
            <w:pPr>
              <w:pStyle w:val="Compact"/>
              <w:jc w:val="left"/>
            </w:pPr>
            <w:r>
              <w:t xml:space="preserve">RQ</w:t>
            </w:r>
          </w:p>
        </w:tc>
        <w:tc>
          <w:tcPr/>
          <w:p>
            <w:pPr>
              <w:pStyle w:val="Compact"/>
              <w:jc w:val="left"/>
            </w:pPr>
            <w:r>
              <w:t xml:space="preserve">Method</w:t>
            </w:r>
          </w:p>
        </w:tc>
        <w:tc>
          <w:tcPr/>
          <w:p>
            <w:pPr>
              <w:pStyle w:val="Compact"/>
              <w:jc w:val="left"/>
            </w:pPr>
            <w:r>
              <w:t xml:space="preserve">Authoritative evidence</w:t>
            </w:r>
          </w:p>
        </w:tc>
        <w:tc>
          <w:tcPr/>
          <w:p>
            <w:pPr>
              <w:pStyle w:val="Compact"/>
              <w:jc w:val="left"/>
            </w:pPr>
            <w:r>
              <w:t xml:space="preserve">Conclusion type</w:t>
            </w:r>
          </w:p>
        </w:tc>
      </w:tr>
      <w:tr>
        <w:trPr>
          <w:cantSplit/>
        </w:trPr>
        <w:tc>
          <w:tcPr/>
          <w:p>
            <w:pPr>
              <w:pStyle w:val="Compact"/>
              <w:jc w:val="left"/>
            </w:pPr>
            <w:r>
              <w:t xml:space="preserve">1</w:t>
            </w:r>
          </w:p>
        </w:tc>
        <w:tc>
          <w:tcPr/>
          <w:p>
            <w:pPr>
              <w:pStyle w:val="Compact"/>
              <w:jc w:val="left"/>
            </w:pPr>
            <w:r>
              <w:t xml:space="preserve">technical eligibility/identity/generation audit; extraction/OCR diagnostics; public-projection and manifest validation</w:t>
            </w:r>
          </w:p>
        </w:tc>
        <w:tc>
          <w:tcPr/>
          <w:p>
            <w:pPr>
              <w:pStyle w:val="Compact"/>
              <w:jc w:val="left"/>
            </w:pPr>
            <w:r>
              <w:t xml:space="preserve">Phase 1 evidence; database integrity; active index generations; section cases; remediation OCR fixture</w:t>
            </w:r>
          </w:p>
        </w:tc>
        <w:tc>
          <w:tcPr/>
          <w:p>
            <w:pPr>
              <w:pStyle w:val="Compact"/>
              <w:jc w:val="left"/>
            </w:pPr>
            <w:r>
              <w:t xml:space="preserve">technical coverage/integrity, public-gate state, and observed data failures</w:t>
            </w:r>
          </w:p>
        </w:tc>
      </w:tr>
      <w:tr>
        <w:trPr>
          <w:cantSplit/>
        </w:trPr>
        <w:tc>
          <w:tcPr/>
          <w:p>
            <w:pPr>
              <w:pStyle w:val="Compact"/>
              <w:jc w:val="left"/>
            </w:pPr>
            <w:r>
              <w:t xml:space="preserve">2</w:t>
            </w:r>
          </w:p>
        </w:tc>
        <w:tc>
          <w:tcPr/>
          <w:p>
            <w:pPr>
              <w:pStyle w:val="Compact"/>
              <w:jc w:val="left"/>
            </w:pPr>
            <w:r>
              <w:t xml:space="preserve">historical v1 development/test evaluation; baselines; tuning; ablation; paired statistics</w:t>
            </w:r>
          </w:p>
        </w:tc>
        <w:tc>
          <w:tcPr/>
          <w:p>
            <w:pPr>
              <w:pStyle w:val="Compact"/>
              <w:jc w:val="left"/>
            </w:pPr>
            <w:r>
              <w:t xml:space="preserve">immutable raw per-query rankings; retrieval summary, statistics, and error taxonomy</w:t>
            </w:r>
          </w:p>
        </w:tc>
        <w:tc>
          <w:tcPr/>
          <w:p>
            <w:pPr>
              <w:pStyle w:val="Compact"/>
              <w:jc w:val="left"/>
            </w:pPr>
            <w:r>
              <w:t xml:space="preserve">bounded post-selection retrieval diagnosis and heuristic sensitivity</w:t>
            </w:r>
          </w:p>
        </w:tc>
      </w:tr>
      <w:tr>
        <w:trPr>
          <w:cantSplit/>
        </w:trPr>
        <w:tc>
          <w:tcPr/>
          <w:p>
            <w:pPr>
              <w:pStyle w:val="Compact"/>
              <w:jc w:val="left"/>
            </w:pPr>
            <w:r>
              <w:t xml:space="preserve">3</w:t>
            </w:r>
          </w:p>
        </w:tc>
        <w:tc>
          <w:tcPr/>
          <w:p>
            <w:pPr>
              <w:pStyle w:val="Compact"/>
              <w:jc w:val="left"/>
            </w:pPr>
            <w:r>
              <w:t xml:space="preserve">historical atomic diagnosis plus prospective source-first selective-response evaluation</w:t>
            </w:r>
          </w:p>
        </w:tc>
        <w:tc>
          <w:tcPr/>
          <w:p>
            <w:pPr>
              <w:pStyle w:val="Compact"/>
              <w:jc w:val="left"/>
            </w:pPr>
            <w:r>
              <w:t xml:space="preserve">v1 claim/link/point labels; prospective frozen cases, structural outputs, two-pass decisions, intervals</w:t>
            </w:r>
          </w:p>
        </w:tc>
        <w:tc>
          <w:tcPr/>
          <w:p>
            <w:pPr>
              <w:pStyle w:val="Compact"/>
              <w:jc w:val="left"/>
            </w:pPr>
            <w:r>
              <w:t xml:space="preserve">bounded extractive QA and repaired answerability/locator behavior, not entailment or human usefulness</w:t>
            </w:r>
          </w:p>
        </w:tc>
      </w:tr>
      <w:tr>
        <w:trPr>
          <w:cantSplit/>
        </w:trPr>
        <w:tc>
          <w:tcPr/>
          <w:p>
            <w:pPr>
              <w:pStyle w:val="Compact"/>
              <w:jc w:val="left"/>
            </w:pPr>
            <w:r>
              <w:t xml:space="preserve">4</w:t>
            </w:r>
          </w:p>
        </w:tc>
        <w:tc>
          <w:tcPr/>
          <w:p>
            <w:pPr>
              <w:pStyle w:val="Compact"/>
              <w:jc w:val="left"/>
            </w:pPr>
            <w:r>
              <w:t xml:space="preserve">historical proxy diagnosis plus prospective paired evidence-only/full comparison and sensitivity</w:t>
            </w:r>
          </w:p>
        </w:tc>
        <w:tc>
          <w:tcPr/>
          <w:p>
            <w:pPr>
              <w:pStyle w:val="Compact"/>
              <w:jc w:val="left"/>
            </w:pPr>
            <w:r>
              <w:t xml:space="preserve">v1 criteria; prospective frozen profiles, paired rankings, contract checks, profile-level intervals</w:t>
            </w:r>
          </w:p>
        </w:tc>
        <w:tc>
          <w:tcPr/>
          <w:p>
            <w:pPr>
              <w:pStyle w:val="Compact"/>
              <w:jc w:val="left"/>
            </w:pPr>
            <w:r>
              <w:t xml:space="preserve">proxy ranking/contract behavior, not novelty, feasibility, supervisor fit, or student benefit</w:t>
            </w:r>
          </w:p>
        </w:tc>
      </w:tr>
      <w:tr>
        <w:trPr>
          <w:cantSplit/>
        </w:trPr>
        <w:tc>
          <w:tcPr/>
          <w:p>
            <w:pPr>
              <w:pStyle w:val="Compact"/>
              <w:jc w:val="left"/>
            </w:pPr>
            <w:r>
              <w:t xml:space="preserve">5</w:t>
            </w:r>
          </w:p>
        </w:tc>
        <w:tc>
          <w:tcPr/>
          <w:p>
            <w:pPr>
              <w:pStyle w:val="Compact"/>
              <w:jc w:val="left"/>
            </w:pPr>
            <w:r>
              <w:t xml:space="preserve">historical topic comparison plus prospective positive-only recall; identity/source and stored-output review</w:t>
            </w:r>
          </w:p>
        </w:tc>
        <w:tc>
          <w:tcPr/>
          <w:p>
            <w:pPr>
              <w:pStyle w:val="Compact"/>
              <w:jc w:val="left"/>
            </w:pPr>
            <w:r>
              <w:t xml:space="preserve">historical/positive-only topic outputs; author audit; review events/idempotence</w:t>
            </w:r>
          </w:p>
        </w:tc>
        <w:tc>
          <w:tcPr/>
          <w:p>
            <w:pPr>
              <w:pStyle w:val="Compact"/>
              <w:jc w:val="left"/>
            </w:pPr>
            <w:r>
              <w:t xml:space="preserve">inspectable discovery/review behavior, not topic precision, expertise, public behavior, endorsement, or human approval</w:t>
            </w:r>
          </w:p>
        </w:tc>
      </w:tr>
      <w:tr>
        <w:trPr>
          <w:cantSplit/>
        </w:trPr>
        <w:tc>
          <w:tcPr/>
          <w:p>
            <w:pPr>
              <w:pStyle w:val="Compact"/>
              <w:jc w:val="left"/>
            </w:pPr>
            <w:r>
              <w:t xml:space="preserve">6</w:t>
            </w:r>
          </w:p>
        </w:tc>
        <w:tc>
          <w:tcPr/>
          <w:p>
            <w:pPr>
              <w:pStyle w:val="Compact"/>
              <w:jc w:val="left"/>
            </w:pPr>
            <w:r>
              <w:t xml:space="preserve">repeated benchmark; full/quick reproduction; release scan; external open-corpus sanity check; document preflight</w:t>
            </w:r>
          </w:p>
        </w:tc>
        <w:tc>
          <w:tcPr/>
          <w:p>
            <w:pPr>
              <w:pStyle w:val="Compact"/>
              <w:jc w:val="left"/>
            </w:pPr>
            <w:r>
              <w:t xml:space="preserve">Phase 6 raw results; reproduction and release manifests; Europe PMC manifest; PDF checks</w:t>
            </w:r>
          </w:p>
        </w:tc>
        <w:tc>
          <w:tcPr/>
          <w:p>
            <w:pPr>
              <w:pStyle w:val="Compact"/>
              <w:jc w:val="left"/>
            </w:pPr>
            <w:r>
              <w:t xml:space="preserve">bounded local reproducibility, operational characterization, and format compatibility</w:t>
            </w:r>
          </w:p>
        </w:tc>
      </w:tr>
      <w:tr>
        <w:trPr>
          <w:cantSplit/>
        </w:trPr>
        <w:tc>
          <w:tcPr/>
          <w:p>
            <w:pPr>
              <w:pStyle w:val="Compact"/>
              <w:jc w:val="left"/>
            </w:pPr>
            <w:r>
              <w:t xml:space="preserve">7</w:t>
            </w:r>
          </w:p>
        </w:tc>
        <w:tc>
          <w:tcPr/>
          <w:p>
            <w:pPr>
              <w:pStyle w:val="Compact"/>
              <w:jc w:val="left"/>
            </w:pPr>
            <w:r>
              <w:t xml:space="preserve">requirement–API–view–test tracing; public privacy probe; role/authentication tests; failure-state and responsive/accessibility checks</w:t>
            </w:r>
          </w:p>
        </w:tc>
        <w:tc>
          <w:tcPr/>
          <w:p>
            <w:pPr>
              <w:pStyle w:val="Compact"/>
              <w:jc w:val="left"/>
            </w:pPr>
            <w:r>
              <w:t xml:space="preserve">route/API contracts; runtime probe; backend security tests; frontend component/E2E/accessibility tests</w:t>
            </w:r>
          </w:p>
        </w:tc>
        <w:tc>
          <w:tcPr/>
          <w:p>
            <w:pPr>
              <w:pStyle w:val="Compact"/>
              <w:jc w:val="left"/>
            </w:pPr>
            <w:r>
              <w:t xml:space="preserve">implemented evidence-interface governance, not user satisfaction, WCAG conformance, or production readiness</w:t>
            </w:r>
          </w:p>
        </w:tc>
      </w:tr>
    </w:tbl>
    <w:bookmarkEnd w:id="39"/>
    <w:bookmarkEnd w:id="40"/>
    <w:bookmarkStart w:id="41" w:name="claim-boundaries"/>
    <w:p>
      <w:pPr>
        <w:pStyle w:val="Heading2"/>
      </w:pPr>
      <w:r>
        <w:rPr>
          <w:rStyle w:val="SectionNumber"/>
        </w:rPr>
        <w:t xml:space="preserve">3.3</w:t>
      </w:r>
      <w:r>
        <w:tab/>
      </w:r>
      <w:r>
        <w:t xml:space="preserve">Claim boundaries</w:t>
      </w:r>
    </w:p>
    <w:p>
      <w:pPr>
        <w:pStyle w:val="FirstParagraph"/>
      </w:pPr>
      <w:r>
        <w:t xml:space="preserve">RQ1 concerns a generation-linked technical subset and cannot make unavailable or unapproved records publicly searchable. RQ2’s immutable historical v1 comparison does not establish broader-corpus effectiveness or equivalence. RQ3 evaluates deterministic extractive configurations; its intervals exclude AI-label uncertainty and cannot represent every RAG generator. RQ4 evaluates source-derived profiles and an AI proxy; novelty, data access, time, prerequisite mastery, and supervisor suitability remain external. RQ5 measures known-positive controlled labels, source-backed relations, and review mechanics; it does not establish topic precision, current author identity, availability, endorsement, public behavior, or human approval.</w:t>
      </w:r>
    </w:p>
    <w:p>
      <w:pPr>
        <w:pStyle w:val="BodyText"/>
      </w:pPr>
      <w:r>
        <w:t xml:space="preserve">RQ6 reports concurrency-one local measurements, restricted-content-aware reproduction, and a three-article external XML check. It does not establish service capacity, PDF transfer, or broad generalization. RQ7 verifies coded contracts and automated regressions. It does not establish comprehension, trust, satisfaction, accessibility conformance, or usability with assistive technology. The complete method–evidence–result–conclusion mapping appears in Appendix </w:t>
      </w:r>
      <w:hyperlink w:anchor="app:traceability">
        <w:r>
          <w:rPr>
            <w:rStyle w:val="Hyperlink"/>
          </w:rPr>
          <w:t xml:space="preserve">A</w:t>
        </w:r>
      </w:hyperlink>
      <w:r>
        <w:t xml:space="preserve">.</w:t>
      </w:r>
    </w:p>
    <w:bookmarkEnd w:id="41"/>
    <w:bookmarkEnd w:id="42"/>
    <w:bookmarkStart w:id="53" w:name="ch:literature"/>
    <w:p>
      <w:pPr>
        <w:pStyle w:val="Heading1"/>
      </w:pPr>
      <w:r>
        <w:rPr>
          <w:rStyle w:val="SectionNumber"/>
        </w:rPr>
        <w:t xml:space="preserve">4</w:t>
      </w:r>
      <w:r>
        <w:tab/>
      </w:r>
      <w:r>
        <w:t xml:space="preserve">Literature Review</w:t>
      </w:r>
    </w:p>
    <w:bookmarkStart w:id="43" w:name="design-science-as-the-study-frame"/>
    <w:p>
      <w:pPr>
        <w:pStyle w:val="Heading2"/>
      </w:pPr>
      <w:r>
        <w:rPr>
          <w:rStyle w:val="SectionNumber"/>
        </w:rPr>
        <w:t xml:space="preserve">4.1</w:t>
      </w:r>
      <w:r>
        <w:tab/>
      </w:r>
      <w:r>
        <w:t xml:space="preserve">Design science as the study frame</w:t>
      </w:r>
    </w:p>
    <w:p>
      <w:pPr>
        <w:pStyle w:val="FirstParagraph"/>
      </w:pPr>
      <w:r>
        <w:t xml:space="preserve">Design-science research treats the construction and evaluation of an information-technology artefact as a means of producing knowledge about an identified problem. Hevner et al. distinguish this constructive paradigm from behavioral research and require an artefact, a relevant problem, rigorous evaluation, a research contribution, and effective communication</w:t>
      </w:r>
      <w:r>
        <w:t xml:space="preserve"> </w:t>
      </w:r>
      <w:r>
        <w:t xml:space="preserve">[8]</w:t>
      </w:r>
      <w:r>
        <w:t xml:space="preserve">. Peffers et al. organize design-science research into problem identification, solution objectives, design and development, demonstration, evaluation, and communication</w:t>
      </w:r>
      <w:r>
        <w:t xml:space="preserve"> </w:t>
      </w:r>
      <w:r>
        <w:t xml:space="preserve">[9]</w:t>
      </w:r>
      <w:r>
        <w:t xml:space="preserve">. These accounts are especially relevant to this thesis because the claimed contribution is not a new foundation model. It is a set of constructs, methods, software components, evidence contracts, and evaluation results assembled around a local research-discovery problem.</w:t>
      </w:r>
    </w:p>
    <w:p>
      <w:pPr>
        <w:pStyle w:val="BodyText"/>
      </w:pPr>
      <w:r>
        <w:t xml:space="preserve">The distinction between building and evaluating is important. A route, database table, or source badge demonstrates implementation; it does not establish retrieval effectiveness, correct attribution, or user benefit. Conversely, a high offline metric does not demonstrate that a public interface communicates the metric’s limits. This thesis therefore treats the repository and its executed evidence package as the artefact. Demonstration occurs through full-corpus workflows and route probes. Evaluation occurs at several units—corpus records, chunks, questions, claims, citations, profiles, topic labels, review events, and process stages—because a single end-to-end success score would hide where a failure arose.</w:t>
      </w:r>
    </w:p>
    <w:p>
      <w:pPr>
        <w:pStyle w:val="BodyText"/>
      </w:pPr>
      <w:r>
        <w:t xml:space="preserve">The design-science frame also disciplines scope. The relevance cycle is the laboratory’s need to expose a small, imperfect corpus to students and the public. The rigor cycle draws from scholarly retrieval, RAG evaluation, recommendation, human–AI interaction, and responsible-AI documentation. The design cycle repeatedly connects an observed failure to a design response and a bounded test. For example, stale indexes motivated hash-bound manifests; incomplete answers motivated answer-point review; unverified advice motivated evidence-only and generated modes; and unsafe correction motivated actor-typed, append-only review events. Chapter </w:t>
      </w:r>
      <w:hyperlink w:anchor="ch:methodology">
        <w:r>
          <w:rPr>
            <w:rStyle w:val="Hyperlink"/>
          </w:rPr>
          <w:t xml:space="preserve">5</w:t>
        </w:r>
      </w:hyperlink>
      <w:r>
        <w:t xml:space="preserve"> </w:t>
      </w:r>
      <w:r>
        <w:t xml:space="preserve">makes this mapping explicit rather than using</w:t>
      </w:r>
      <w:r>
        <w:t xml:space="preserve"> </w:t>
      </w:r>
      <w:r>
        <w:t xml:space="preserve">“</w:t>
      </w:r>
      <w:r>
        <w:t xml:space="preserve">design science</w:t>
      </w:r>
      <w:r>
        <w:t xml:space="preserve">”</w:t>
      </w:r>
      <w:r>
        <w:t xml:space="preserve"> </w:t>
      </w:r>
      <w:r>
        <w:t xml:space="preserve">as a retrospective label.</w:t>
      </w:r>
    </w:p>
    <w:bookmarkEnd w:id="43"/>
    <w:bookmarkStart w:id="44" w:name="Xbf99f92de44b8a4157c6fed1bc1af924355b53a"/>
    <w:p>
      <w:pPr>
        <w:pStyle w:val="Heading2"/>
      </w:pPr>
      <w:r>
        <w:rPr>
          <w:rStyle w:val="SectionNumber"/>
        </w:rPr>
        <w:t xml:space="preserve">4.2</w:t>
      </w:r>
      <w:r>
        <w:tab/>
      </w:r>
      <w:r>
        <w:t xml:space="preserve">Scholarly discovery and research intelligence</w:t>
      </w:r>
    </w:p>
    <w:p>
      <w:pPr>
        <w:pStyle w:val="FirstParagraph"/>
      </w:pPr>
      <w:r>
        <w:t xml:space="preserve">CiteSeer demonstrated autonomous acquisition, citation extraction, and search over online papers</w:t>
      </w:r>
      <w:r>
        <w:t xml:space="preserve"> </w:t>
      </w:r>
      <w:r>
        <w:t xml:space="preserve">[2]</w:t>
      </w:r>
      <w:r>
        <w:t xml:space="preserve">. ArnetMiner combined extraction and mining for expert and topic discovery</w:t>
      </w:r>
      <w:r>
        <w:t xml:space="preserve"> </w:t>
      </w:r>
      <w:r>
        <w:t xml:space="preserve">[3]</w:t>
      </w:r>
      <w:r>
        <w:t xml:space="preserve">. Semantic Scholar’s literature graph, S2ORC, and OpenAlex illustrate complementary graph, full-text-corpus, and open-metadata infrastructures</w:t>
      </w:r>
      <w:r>
        <w:t xml:space="preserve"> </w:t>
      </w:r>
      <w:r>
        <w:t xml:space="preserve">[4], [5], [6]</w:t>
      </w:r>
      <w:r>
        <w:t xml:space="preserve">. Their scale enables broad discovery and citation-network analysis, but it also differs from a laboratory collection whose source permissions, missing PDFs, incorrect attachments, and author variants may be inspectable one record at a time.</w:t>
      </w:r>
    </w:p>
    <w:p>
      <w:pPr>
        <w:pStyle w:val="BodyText"/>
      </w:pPr>
      <w:r>
        <w:t xml:space="preserve">The TTLAB precursor automated publication collection, display, lay summaries, notifications, and manual podcast preparation, with RAG presented as future work</w:t>
      </w:r>
      <w:r>
        <w:t xml:space="preserve"> </w:t>
      </w:r>
      <w:r>
        <w:t xml:space="preserve">[1]</w:t>
      </w:r>
      <w:r>
        <w:t xml:space="preserve">. The present artefact retains that public-communication motivation while changing the evidential unit from a publication-list entry or abstract to permitted full-text pages and chunks. It also makes exclusion visible: catalogue representation, local PDF availability, extraction success, eligibility, index coverage, and review state are separate fields. This separation prevents an absent document from disappearing silently and prevents a mismatched PDF from entering evaluation merely because a file exists.</w:t>
      </w:r>
    </w:p>
    <w:p>
      <w:pPr>
        <w:pStyle w:val="BodyText"/>
      </w:pPr>
      <w:r>
        <w:t xml:space="preserve">A small system therefore has a different notion of completeness from a large index. It cannot claim global recall, but it can require that every eligible chunk appear in each authoritative representation and that every derived file bind to one ordered corpus snapshot. That form of internal completeness is an engineering claim, not a scholarly-coverage claim. The distinction motivates RQ1 and the manifest-validity checks used throughout the platform.</w:t>
      </w:r>
    </w:p>
    <w:bookmarkEnd w:id="44"/>
    <w:bookmarkStart w:id="45" w:name="information-retrieval-and-evaluation"/>
    <w:p>
      <w:pPr>
        <w:pStyle w:val="Heading2"/>
      </w:pPr>
      <w:r>
        <w:rPr>
          <w:rStyle w:val="SectionNumber"/>
        </w:rPr>
        <w:t xml:space="preserve">4.3</w:t>
      </w:r>
      <w:r>
        <w:tab/>
      </w:r>
      <w:r>
        <w:t xml:space="preserve">Information retrieval and evaluation</w:t>
      </w:r>
    </w:p>
    <w:p>
      <w:pPr>
        <w:pStyle w:val="FirstParagraph"/>
      </w:pPr>
      <w:r>
        <w:t xml:space="preserve">BM25 remains a strong lexical baseline</w:t>
      </w:r>
      <w:r>
        <w:t xml:space="preserve"> </w:t>
      </w:r>
      <w:r>
        <w:t xml:space="preserve">[10]</w:t>
      </w:r>
      <w:r>
        <w:t xml:space="preserve">. Feature hashing projects sparse lexical features into a bounded-dimensional space</w:t>
      </w:r>
      <w:r>
        <w:t xml:space="preserve"> </w:t>
      </w:r>
      <w:r>
        <w:t xml:space="preserve">[11]</w:t>
      </w:r>
      <w:r>
        <w:t xml:space="preserve">; because it has no learned language representation, calling it semantic retrieval would confuse implementation convenience with model capability. Sentence-BERT learns sentence embeddings suitable for cosine comparison</w:t>
      </w:r>
      <w:r>
        <w:t xml:space="preserve"> </w:t>
      </w:r>
      <w:r>
        <w:t xml:space="preserve">[12]</w:t>
      </w:r>
      <w:r>
        <w:t xml:space="preserve">; Dense Passage Retrieval learns separate query and passage representations for open-domain QA</w:t>
      </w:r>
      <w:r>
        <w:t xml:space="preserve"> </w:t>
      </w:r>
      <w:r>
        <w:t xml:space="preserve">[13]</w:t>
      </w:r>
      <w:r>
        <w:t xml:space="preserve">; and SPECTER incorporates citation structure into scholarly-document representations</w:t>
      </w:r>
      <w:r>
        <w:t xml:space="preserve"> </w:t>
      </w:r>
      <w:r>
        <w:t xml:space="preserve">[14]</w:t>
      </w:r>
      <w:r>
        <w:t xml:space="preserve">. BEIR shows that zero-shot effectiveness varies materially across datasets and that dense retrieval should not be presumed superior</w:t>
      </w:r>
      <w:r>
        <w:t xml:space="preserve"> </w:t>
      </w:r>
      <w:r>
        <w:t xml:space="preserve">[15]</w:t>
      </w:r>
      <w:r>
        <w:t xml:space="preserve">.</w:t>
      </w:r>
    </w:p>
    <w:p>
      <w:pPr>
        <w:pStyle w:val="BodyText"/>
      </w:pPr>
      <w:r>
        <w:t xml:space="preserve">These results support three methodological choices. First, lexical, hashed, learned-dense, and hybrid modes are evaluated on identical cases and eligibility boundaries. Second, development tuning is separated from held-out testing. Third, effectiveness is reported with several ranking measures. Set Recall@</w:t>
      </w:r>
      <m:oMath>
        <m:r>
          <m:t>k</m:t>
        </m:r>
      </m:oMath>
      <w:r>
        <w:t xml:space="preserve"> </w:t>
      </w:r>
      <w:r>
        <w:t xml:space="preserve">answers whether all relevant papers were recovered, reciprocal rank emphasizes the first relevant result, and nDCG incorporates graded relevance and rank discount. None alone measures whether the corpus should have abstained.</w:t>
      </w:r>
    </w:p>
    <w:p>
      <w:pPr>
        <w:pStyle w:val="BodyText"/>
      </w:pPr>
      <w:r>
        <w:t xml:space="preserve">Hybrid retrieval is not intrinsically better merely because it combines signals. Recommendation research similarly distinguishes hybridization strategies and their assumptions</w:t>
      </w:r>
      <w:r>
        <w:t xml:space="preserve"> </w:t>
      </w:r>
      <w:r>
        <w:t xml:space="preserve">[16]</w:t>
      </w:r>
      <w:r>
        <w:t xml:space="preserve">. In this platform, the heuristic hybrid combines normalized keyword/vector scores with metadata, section, evidence, topic, and diversity terms; the tuned hybrid changes weights on development cases. Ablation is therefore necessary to determine whether a plausible term helps or harms. Paired tests and confidence intervals are used to resist reading small point-estimate differences as general superiority, while the absence of an equivalence test prevents the inverse claim that two modes are</w:t>
      </w:r>
      <w:r>
        <w:t xml:space="preserve"> </w:t>
      </w:r>
      <w:r>
        <w:t xml:space="preserve">“</w:t>
      </w:r>
      <w:r>
        <w:t xml:space="preserve">the same.</w:t>
      </w:r>
      <w:r>
        <w:t xml:space="preserve">”</w:t>
      </w:r>
    </w:p>
    <w:bookmarkEnd w:id="45"/>
    <w:bookmarkStart w:id="46" w:name="rag-attribution-and-answer-completeness"/>
    <w:p>
      <w:pPr>
        <w:pStyle w:val="Heading2"/>
      </w:pPr>
      <w:r>
        <w:rPr>
          <w:rStyle w:val="SectionNumber"/>
        </w:rPr>
        <w:t xml:space="preserve">4.4</w:t>
      </w:r>
      <w:r>
        <w:tab/>
      </w:r>
      <w:r>
        <w:t xml:space="preserve">RAG, attribution, and answer completeness</w:t>
      </w:r>
    </w:p>
    <w:p>
      <w:pPr>
        <w:pStyle w:val="FirstParagraph"/>
      </w:pPr>
      <w:r>
        <w:t xml:space="preserve">RAG conditions generation on retrieved documents</w:t>
      </w:r>
      <w:r>
        <w:t xml:space="preserve"> </w:t>
      </w:r>
      <w:r>
        <w:t xml:space="preserve">[7]</w:t>
      </w:r>
      <w:r>
        <w:t xml:space="preserve">. Fusion-in-Decoder aggregates evidence from multiple passages</w:t>
      </w:r>
      <w:r>
        <w:t xml:space="preserve"> </w:t>
      </w:r>
      <w:r>
        <w:t xml:space="preserve">[17]</w:t>
      </w:r>
      <w:r>
        <w:t xml:space="preserve">, while Self-RAG integrates retrieval and self-reflection decisions</w:t>
      </w:r>
      <w:r>
        <w:t xml:space="preserve"> </w:t>
      </w:r>
      <w:r>
        <w:t xml:space="preserve">[18]</w:t>
      </w:r>
      <w:r>
        <w:t xml:space="preserve">. These architectures motivate evidence-aware generation, but a displayed citation may still be irrelevant to the nearby claim, and a source-supported sentence may fail to answer the question.</w:t>
      </w:r>
    </w:p>
    <w:p>
      <w:pPr>
        <w:pStyle w:val="BodyText"/>
      </w:pPr>
      <w:r>
        <w:t xml:space="preserve">RAGAS and ARES propose automated dimensions and synthetic workflows for RAG evaluation</w:t>
      </w:r>
      <w:r>
        <w:t xml:space="preserve"> </w:t>
      </w:r>
      <w:r>
        <w:t xml:space="preserve">[19], [20]</w:t>
      </w:r>
      <w:r>
        <w:t xml:space="preserve">. FActScore decomposes long-form text into atomic factual claims</w:t>
      </w:r>
      <w:r>
        <w:t xml:space="preserve"> </w:t>
      </w:r>
      <w:r>
        <w:t xml:space="preserve">[21]</w:t>
      </w:r>
      <w:r>
        <w:t xml:space="preserve">. SummEval and G-Eval illustrate both the need for multidimensional review and the limitations of automatic or model-based judges</w:t>
      </w:r>
      <w:r>
        <w:t xml:space="preserve"> </w:t>
      </w:r>
      <w:r>
        <w:t xml:space="preserve">[22], [23]</w:t>
      </w:r>
      <w:r>
        <w:t xml:space="preserve">. Following this literature, the thesis separates four constructs: whether a claim is supported somewhere in returned evidence; whether its attached citation is the correct evidence; whether expected answer points are covered; and whether the system declines questions outside the available evidence. Citation presence is recorded but is not allowed to stand in for the other three constructs.</w:t>
      </w:r>
    </w:p>
    <w:p>
      <w:pPr>
        <w:pStyle w:val="BodyText"/>
      </w:pPr>
      <w:r>
        <w:t xml:space="preserve">Attribution also has an interface dimension. A paper ID without a passage requires the user to search the source again; a snippet without page or section context can be difficult to verify; and a</w:t>
      </w:r>
      <w:r>
        <w:t xml:space="preserve"> </w:t>
      </w:r>
      <w:r>
        <w:t xml:space="preserve">“</w:t>
      </w:r>
      <w:r>
        <w:t xml:space="preserve">grounded</w:t>
      </w:r>
      <w:r>
        <w:t xml:space="preserve">”</w:t>
      </w:r>
      <w:r>
        <w:t xml:space="preserve"> </w:t>
      </w:r>
      <w:r>
        <w:t xml:space="preserve">badge can imply more than a structural check established. The platform therefore returns paper, chunk, page, section, snippet, provider, model, warning, and review state. The later atomic review is intentionally stricter than the runtime structural verifier. This difference is not an inconsistency: the runtime can check locator integrity deterministically, while entailment and usefulness require a separate evidence process.</w:t>
      </w:r>
    </w:p>
    <w:bookmarkEnd w:id="46"/>
    <w:bookmarkStart w:id="47" w:name="abstention-and-selective-response"/>
    <w:p>
      <w:pPr>
        <w:pStyle w:val="Heading2"/>
      </w:pPr>
      <w:r>
        <w:rPr>
          <w:rStyle w:val="SectionNumber"/>
        </w:rPr>
        <w:t xml:space="preserve">4.5</w:t>
      </w:r>
      <w:r>
        <w:tab/>
      </w:r>
      <w:r>
        <w:t xml:space="preserve">Abstention and selective response</w:t>
      </w:r>
    </w:p>
    <w:p>
      <w:pPr>
        <w:pStyle w:val="FirstParagraph"/>
      </w:pPr>
      <w:r>
        <w:t xml:space="preserve">Selective classification formalizes a reject option as a risk–coverage trade-off: a system may reduce error on answered cases by declining cases for which evidence is insufficient</w:t>
      </w:r>
      <w:r>
        <w:t xml:space="preserve"> </w:t>
      </w:r>
      <w:r>
        <w:t xml:space="preserve">[24]</w:t>
      </w:r>
      <w:r>
        <w:t xml:space="preserve">. A RAG answerer is not identical to a classifier, so the theory is used here as a design analogy rather than a direct guarantee. The relevant principle is that answering every request is not automatically desirable when the corpus is bounded.</w:t>
      </w:r>
    </w:p>
    <w:p>
      <w:pPr>
        <w:pStyle w:val="BodyText"/>
      </w:pPr>
      <w:r>
        <w:t xml:space="preserve">Abstention in research QA can fail at several levels. A query may be outside the catalogue; relevant papers may exist but lack eligible text; retrieval scores may be weak or contradictory; retrieved passages may not cover the requested answer points; or a provider may be unavailable. These conditions should not collapse into one generic error. The interface can return an explicit out-of-corpus notice, evidence-only results, a provider-fallback warning, or no generated answer. Evaluation must then report both coverage and error among answered cases, with enough unanswerable cases to estimate the trade-off. The present small unanswerable subsets are diagnostic, not sufficient for calibration.</w:t>
      </w:r>
    </w:p>
    <w:bookmarkEnd w:id="47"/>
    <w:bookmarkStart w:id="48" w:name="recommendation-and-human-centered-advice"/>
    <w:p>
      <w:pPr>
        <w:pStyle w:val="Heading2"/>
      </w:pPr>
      <w:r>
        <w:rPr>
          <w:rStyle w:val="SectionNumber"/>
        </w:rPr>
        <w:t xml:space="preserve">4.6</w:t>
      </w:r>
      <w:r>
        <w:tab/>
      </w:r>
      <w:r>
        <w:t xml:space="preserve">Recommendation and human-centered advice</w:t>
      </w:r>
    </w:p>
    <w:p>
      <w:pPr>
        <w:pStyle w:val="FirstParagraph"/>
      </w:pPr>
      <w:r>
        <w:t xml:space="preserve">Research-paper recommendation combines content, citations, profiles, and hybrid signals; surveys identify reproducible evaluation and realistic user modeling as continuing challenges</w:t>
      </w:r>
      <w:r>
        <w:t xml:space="preserve"> </w:t>
      </w:r>
      <w:r>
        <w:t xml:space="preserve">[25]</w:t>
      </w:r>
      <w:r>
        <w:t xml:space="preserve">. Publication history can represent recent research interests</w:t>
      </w:r>
      <w:r>
        <w:t xml:space="preserve"> </w:t>
      </w:r>
      <w:r>
        <w:t xml:space="preserve">[26]</w:t>
      </w:r>
      <w:r>
        <w:t xml:space="preserve">. Broader recommender evaluation literature emphasizes that offline predictive measures, user tasks, and whole-system/user evaluation answer different questions</w:t>
      </w:r>
      <w:r>
        <w:t xml:space="preserve"> </w:t>
      </w:r>
      <w:r>
        <w:t xml:space="preserve">[27]</w:t>
      </w:r>
      <w:r>
        <w:t xml:space="preserve">. A ranked paper may be relevant without producing a feasible project, and a well-formed idea may still be unsuitable for a particular programme or supervisor.</w:t>
      </w:r>
    </w:p>
    <w:p>
      <w:pPr>
        <w:pStyle w:val="BodyText"/>
      </w:pPr>
      <w:r>
        <w:t xml:space="preserve">This distinction is central to the Thesis Extension Finder. Its profile contains interests, skills, available time, project type, data constraints, difficulty, preferred topics, and avoid-topics. Those inputs can support candidate retrieval and transparent heuristics. They cannot verify data permission, novelty, prerequisite mastery, institutional fit, or supervision capacity. The design therefore separates paper-supported baseline work; explicit paper-stated future work; an inferred or missing gap; and a system-generated suggestion. It also offers an evidence-only mode. The full output structures an MVP, stretch goals, risks, skills, data assumptions, and evaluation plan, but each remains advice requiring external confirmation.</w:t>
      </w:r>
    </w:p>
    <w:p>
      <w:pPr>
        <w:pStyle w:val="BodyText"/>
      </w:pPr>
      <w:r>
        <w:t xml:space="preserve">Human-centered AI guidance recommends making capabilities and limits clear, supporting correction, showing contextually relevant information, and enabling user control</w:t>
      </w:r>
      <w:r>
        <w:t xml:space="preserve"> </w:t>
      </w:r>
      <w:r>
        <w:t xml:space="preserve">[28]</w:t>
      </w:r>
      <w:r>
        <w:t xml:space="preserve">. Interactive machine-learning work likewise emphasizes user feedback throughout the system lifecycle</w:t>
      </w:r>
      <w:r>
        <w:t xml:space="preserve"> </w:t>
      </w:r>
      <w:r>
        <w:t xml:space="preserve">[29]</w:t>
      </w:r>
      <w:r>
        <w:t xml:space="preserve">. Applied here, those principles favor profile echoing, editable inputs, visible assumptions, evidence links, alternative evidence-only output, error recovery, and reviewer correction over a single opaque suitability score. The present study tests those contracts as software behavior; it does not substitute automated accessibility checks or AI-proxy ratings for a human usability study.</w:t>
      </w:r>
    </w:p>
    <w:bookmarkEnd w:id="48"/>
    <w:bookmarkStart w:id="49" w:name="topics-authors-and-identity-boundaries"/>
    <w:p>
      <w:pPr>
        <w:pStyle w:val="Heading2"/>
      </w:pPr>
      <w:r>
        <w:rPr>
          <w:rStyle w:val="SectionNumber"/>
        </w:rPr>
        <w:t xml:space="preserve">4.7</w:t>
      </w:r>
      <w:r>
        <w:tab/>
      </w:r>
      <w:r>
        <w:t xml:space="preserve">Topics, authors, and identity boundaries</w:t>
      </w:r>
    </w:p>
    <w:p>
      <w:pPr>
        <w:pStyle w:val="FirstParagraph"/>
      </w:pPr>
      <w:r>
        <w:t xml:space="preserve">Latent Dirichlet allocation represents documents as distributions over latent topics</w:t>
      </w:r>
      <w:r>
        <w:t xml:space="preserve"> </w:t>
      </w:r>
      <w:r>
        <w:t xml:space="preserve">[30]</w:t>
      </w:r>
      <w:r>
        <w:t xml:space="preserve">. BERTopic combines transformer embeddings, clustering, and class-based term weighting</w:t>
      </w:r>
      <w:r>
        <w:t xml:space="preserve"> </w:t>
      </w:r>
      <w:r>
        <w:t xml:space="preserve">[31]</w:t>
      </w:r>
      <w:r>
        <w:t xml:space="preserve">. Topic interpretability remains difficult to reduce to one numerical measure</w:t>
      </w:r>
      <w:r>
        <w:t xml:space="preserve"> </w:t>
      </w:r>
      <w:r>
        <w:t xml:space="preserve">[32]</w:t>
      </w:r>
      <w:r>
        <w:t xml:space="preserve">. For a small curated corpus, the project retains an editable controlled vocabulary and evaluates it against a dense label-prototype alternative. The controlled method trades open-ended discovery for determinism and governance; precision, recall, coverage, and per-label support must determine how much that trade achieved.</w:t>
      </w:r>
    </w:p>
    <w:p>
      <w:pPr>
        <w:pStyle w:val="BodyText"/>
      </w:pPr>
      <w:r>
        <w:t xml:space="preserve">Expert finding has been formalized through candidate- and document-centric language models</w:t>
      </w:r>
      <w:r>
        <w:t xml:space="preserve"> </w:t>
      </w:r>
      <w:r>
        <w:t xml:space="preserve">[33], [34]</w:t>
      </w:r>
      <w:r>
        <w:t xml:space="preserve">. In a public laboratory setting, however, an author–topic score may be misread as current expertise, availability, or willingness to supervise. The platform restricts author-topic evidence to eligible indexed publications, preserves aliases and unresolved candidates, and states that the relation is publication-derived. Identity merges require external confirmation because a false merge changes attribution across every dependent view.</w:t>
      </w:r>
    </w:p>
    <w:bookmarkEnd w:id="49"/>
    <w:bookmarkStart w:id="50" w:name="review-documentation-and-responsible-ai"/>
    <w:p>
      <w:pPr>
        <w:pStyle w:val="Heading2"/>
      </w:pPr>
      <w:r>
        <w:rPr>
          <w:rStyle w:val="SectionNumber"/>
        </w:rPr>
        <w:t xml:space="preserve">4.8</w:t>
      </w:r>
      <w:r>
        <w:tab/>
      </w:r>
      <w:r>
        <w:t xml:space="preserve">Review, documentation, and responsible AI</w:t>
      </w:r>
    </w:p>
    <w:p>
      <w:pPr>
        <w:pStyle w:val="FirstParagraph"/>
      </w:pPr>
      <w:r>
        <w:t xml:space="preserve">Datasheets and model cards formalize provenance, intended use, evaluation, and limitation reporting</w:t>
      </w:r>
      <w:r>
        <w:t xml:space="preserve"> </w:t>
      </w:r>
      <w:r>
        <w:t xml:space="preserve">[35], [36]</w:t>
      </w:r>
      <w:r>
        <w:t xml:space="preserve">. Language-model risk taxonomies include misinformation and interaction harms</w:t>
      </w:r>
      <w:r>
        <w:t xml:space="preserve"> </w:t>
      </w:r>
      <w:r>
        <w:t xml:space="preserve">[37]</w:t>
      </w:r>
      <w:r>
        <w:t xml:space="preserve">; the NIST AI Risk Management Framework organizes governance around mapping, measurement, management, and oversight</w:t>
      </w:r>
      <w:r>
        <w:t xml:space="preserve"> </w:t>
      </w:r>
      <w:r>
        <w:t xml:space="preserve">[38]</w:t>
      </w:r>
      <w:r>
        <w:t xml:space="preserve">. These frameworks do not prescribe this application’s exact schema, but they motivate persistent source/configuration metadata, declared intended use, failure reporting, and accountable review.</w:t>
      </w:r>
    </w:p>
    <w:p>
      <w:pPr>
        <w:pStyle w:val="BodyText"/>
      </w:pPr>
      <w:r>
        <w:t xml:space="preserve">The platform operationalizes those ideas through generated-content notices, actor-typed review states, authenticated mutations, append-only event hashes, transient public profiles, and a sanitized release. A correction is not a silent overwrite: the event identifies the target, prior and new state, actor role/type, rationale, time, and chain link. An AI reviewer can create an AI-reviewed state but cannot issue a human approval state. Content that cannot be reproduced safely remains marked for reprocessing rather than being deleted or relabelled as current.</w:t>
      </w:r>
    </w:p>
    <w:bookmarkEnd w:id="50"/>
    <w:bookmarkStart w:id="52" w:name="synthesis-and-research-gap"/>
    <w:p>
      <w:pPr>
        <w:pStyle w:val="Heading2"/>
      </w:pPr>
      <w:r>
        <w:rPr>
          <w:rStyle w:val="SectionNumber"/>
        </w:rPr>
        <w:t xml:space="preserve">4.9</w:t>
      </w:r>
      <w:r>
        <w:tab/>
      </w:r>
      <w:r>
        <w:t xml:space="preserve">Synthesis and research gap</w:t>
      </w:r>
    </w:p>
    <w:p>
      <w:pPr>
        <w:pStyle w:val="FirstParagraph"/>
      </w:pPr>
      <w:hyperlink w:anchor="tab:literature-synthesis">
        <w:r>
          <w:rPr>
            <w:rStyle w:val="Hyperlink"/>
          </w:rPr>
          <w:t xml:space="preserve">Table 4.1</w:t>
        </w:r>
      </w:hyperlink>
      <w:r>
        <w:t xml:space="preserve"> </w:t>
      </w:r>
      <w:r>
        <w:t xml:space="preserve">connects the literature-derived risk to the implemented response and the evidence still required. The table is a positioning device, not a capability-superiority claim.</w:t>
      </w:r>
    </w:p>
    <w:bookmarkStart w:id="51" w:name="tab:literature-synthesis"/>
    <w:p>
      <w:pPr>
        <w:pStyle w:val="TableCaption"/>
      </w:pPr>
      <w:r>
        <w:t xml:space="preserve">Table 4.1. Literature-derived design tensions and this thesis’s bounded response.</w:t>
      </w:r>
    </w:p>
    <w:tbl>
      <w:tblPr>
        <w:tblStyle w:val="Table"/>
        <w:tblW w:type="auto" w:w="0"/>
        <w:tblLook w:firstRow="1" w:lastRow="0" w:firstColumn="0" w:lastColumn="0" w:noHBand="0" w:noVBand="0" w:val="0020"/>
        <w:jc w:val="start"/>
        <w:tblCaption w:val="Table 4.1. Literature-derived design tensions and this thesis’s bounded response."/>
      </w:tblPr>
      <w:tblGrid>
        <w:gridCol w:w="2640"/>
        <w:gridCol w:w="2640"/>
        <w:gridCol w:w="2640"/>
      </w:tblGrid>
      <w:tr>
        <w:trPr>
          <w:tblHeader w:val="true"/>
          <w:cantSplit/>
        </w:trPr>
        <w:tc>
          <w:tcPr/>
          <w:p>
            <w:pPr>
              <w:pStyle w:val="Compact"/>
              <w:jc w:val="left"/>
            </w:pPr>
            <w:r>
              <w:t xml:space="preserve">Design tension</w:t>
            </w:r>
          </w:p>
        </w:tc>
        <w:tc>
          <w:tcPr/>
          <w:p>
            <w:pPr>
              <w:pStyle w:val="Compact"/>
              <w:jc w:val="left"/>
            </w:pPr>
            <w:r>
              <w:t xml:space="preserve">Implemented response</w:t>
            </w:r>
          </w:p>
        </w:tc>
        <w:tc>
          <w:tcPr/>
          <w:p>
            <w:pPr>
              <w:pStyle w:val="Compact"/>
              <w:jc w:val="left"/>
            </w:pPr>
            <w:r>
              <w:t xml:space="preserve">Evidence boundary</w:t>
            </w:r>
          </w:p>
        </w:tc>
      </w:tr>
      <w:tr>
        <w:trPr>
          <w:cantSplit/>
        </w:trPr>
        <w:tc>
          <w:tcPr/>
          <w:p>
            <w:pPr>
              <w:pStyle w:val="Compact"/>
              <w:jc w:val="left"/>
            </w:pPr>
            <w:r>
              <w:t xml:space="preserve">Corpus scale versus inspectable provenance</w:t>
            </w:r>
          </w:p>
        </w:tc>
        <w:tc>
          <w:tcPr/>
          <w:p>
            <w:pPr>
              <w:pStyle w:val="Compact"/>
              <w:jc w:val="left"/>
            </w:pPr>
            <w:r>
              <w:t xml:space="preserve">page-aware local corpus; eligibility states; hash-bound indexes</w:t>
            </w:r>
          </w:p>
        </w:tc>
        <w:tc>
          <w:tcPr/>
          <w:p>
            <w:pPr>
              <w:pStyle w:val="Compact"/>
              <w:jc w:val="left"/>
            </w:pPr>
            <w:r>
              <w:t xml:space="preserve">internal eligible-set completeness, not global scholarly coverage</w:t>
            </w:r>
          </w:p>
        </w:tc>
      </w:tr>
      <w:tr>
        <w:trPr>
          <w:cantSplit/>
        </w:trPr>
        <w:tc>
          <w:tcPr/>
          <w:p>
            <w:pPr>
              <w:pStyle w:val="Compact"/>
              <w:jc w:val="left"/>
            </w:pPr>
            <w:r>
              <w:t xml:space="preserve">Lexical versus dense/hybrid retrieval</w:t>
            </w:r>
          </w:p>
        </w:tc>
        <w:tc>
          <w:tcPr/>
          <w:p>
            <w:pPr>
              <w:pStyle w:val="Compact"/>
              <w:jc w:val="left"/>
            </w:pPr>
            <w:r>
              <w:t xml:space="preserve">common candidate/evaluation boundary; development tuning; ablation</w:t>
            </w:r>
          </w:p>
        </w:tc>
        <w:tc>
          <w:tcPr/>
          <w:p>
            <w:pPr>
              <w:pStyle w:val="Compact"/>
              <w:jc w:val="left"/>
            </w:pPr>
            <w:r>
              <w:t xml:space="preserve">small source-derived AI-silver test, not universal ranking superiority</w:t>
            </w:r>
          </w:p>
        </w:tc>
      </w:tr>
      <w:tr>
        <w:trPr>
          <w:cantSplit/>
        </w:trPr>
        <w:tc>
          <w:tcPr/>
          <w:p>
            <w:pPr>
              <w:pStyle w:val="Compact"/>
              <w:jc w:val="left"/>
            </w:pPr>
            <w:r>
              <w:t xml:space="preserve">Citation presence versus attribution</w:t>
            </w:r>
          </w:p>
        </w:tc>
        <w:tc>
          <w:tcPr/>
          <w:p>
            <w:pPr>
              <w:pStyle w:val="Compact"/>
              <w:jc w:val="left"/>
            </w:pPr>
            <w:r>
              <w:t xml:space="preserve">atomic support and claim–citation review; answer points</w:t>
            </w:r>
          </w:p>
        </w:tc>
        <w:tc>
          <w:tcPr/>
          <w:p>
            <w:pPr>
              <w:pStyle w:val="Compact"/>
              <w:jc w:val="left"/>
            </w:pPr>
            <w:r>
              <w:t xml:space="preserve">AI-reviewed silver evidence; no independent human reliability</w:t>
            </w:r>
          </w:p>
        </w:tc>
      </w:tr>
      <w:tr>
        <w:trPr>
          <w:cantSplit/>
        </w:trPr>
        <w:tc>
          <w:tcPr/>
          <w:p>
            <w:pPr>
              <w:pStyle w:val="Compact"/>
              <w:jc w:val="left"/>
            </w:pPr>
            <w:r>
              <w:t xml:space="preserve">Answer coverage versus abstention</w:t>
            </w:r>
          </w:p>
        </w:tc>
        <w:tc>
          <w:tcPr/>
          <w:p>
            <w:pPr>
              <w:pStyle w:val="Compact"/>
              <w:jc w:val="left"/>
            </w:pPr>
            <w:r>
              <w:t xml:space="preserve">distinct answerability and unanswerable outcomes; visible fallbacks</w:t>
            </w:r>
          </w:p>
        </w:tc>
        <w:tc>
          <w:tcPr/>
          <w:p>
            <w:pPr>
              <w:pStyle w:val="Compact"/>
              <w:jc w:val="left"/>
            </w:pPr>
            <w:r>
              <w:t xml:space="preserve">diagnostic unanswerable set, not calibrated selective risk</w:t>
            </w:r>
          </w:p>
        </w:tc>
      </w:tr>
      <w:tr>
        <w:trPr>
          <w:cantSplit/>
        </w:trPr>
        <w:tc>
          <w:tcPr/>
          <w:p>
            <w:pPr>
              <w:pStyle w:val="Compact"/>
              <w:jc w:val="left"/>
            </w:pPr>
            <w:r>
              <w:t xml:space="preserve">Paper relevance versus project suitability</w:t>
            </w:r>
          </w:p>
        </w:tc>
        <w:tc>
          <w:tcPr/>
          <w:p>
            <w:pPr>
              <w:pStyle w:val="Compact"/>
              <w:jc w:val="left"/>
            </w:pPr>
            <w:r>
              <w:t xml:space="preserve">evidence-only baseline; fact/gap/suggestion separation; explicit assumptions</w:t>
            </w:r>
          </w:p>
        </w:tc>
        <w:tc>
          <w:tcPr/>
          <w:p>
            <w:pPr>
              <w:pStyle w:val="Compact"/>
              <w:jc w:val="left"/>
            </w:pPr>
            <w:r>
              <w:t xml:space="preserve">synthetic profiles and AI-proxy review, not student/supervisor benefit</w:t>
            </w:r>
          </w:p>
        </w:tc>
      </w:tr>
      <w:tr>
        <w:trPr>
          <w:cantSplit/>
        </w:trPr>
        <w:tc>
          <w:tcPr/>
          <w:p>
            <w:pPr>
              <w:pStyle w:val="Compact"/>
              <w:jc w:val="left"/>
            </w:pPr>
            <w:r>
              <w:t xml:space="preserve">Topic/author discovery versus over-attribution</w:t>
            </w:r>
          </w:p>
        </w:tc>
        <w:tc>
          <w:tcPr/>
          <w:p>
            <w:pPr>
              <w:pStyle w:val="Compact"/>
              <w:jc w:val="left"/>
            </w:pPr>
            <w:r>
              <w:t xml:space="preserve">controlled vocabulary; per-label evidence; conservative identities</w:t>
            </w:r>
          </w:p>
        </w:tc>
        <w:tc>
          <w:tcPr/>
          <w:p>
            <w:pPr>
              <w:pStyle w:val="Compact"/>
              <w:jc w:val="left"/>
            </w:pPr>
            <w:r>
              <w:t xml:space="preserve">publication-derived association, not availability or endorsement</w:t>
            </w:r>
          </w:p>
        </w:tc>
      </w:tr>
      <w:tr>
        <w:trPr>
          <w:cantSplit/>
        </w:trPr>
        <w:tc>
          <w:tcPr/>
          <w:p>
            <w:pPr>
              <w:pStyle w:val="Compact"/>
              <w:jc w:val="left"/>
            </w:pPr>
            <w:r>
              <w:t xml:space="preserve">Generated output versus accountable correction</w:t>
            </w:r>
          </w:p>
        </w:tc>
        <w:tc>
          <w:tcPr/>
          <w:p>
            <w:pPr>
              <w:pStyle w:val="Compact"/>
              <w:jc w:val="left"/>
            </w:pPr>
            <w:r>
              <w:t xml:space="preserve">actor-typed states and append-only review events</w:t>
            </w:r>
          </w:p>
        </w:tc>
        <w:tc>
          <w:tcPr/>
          <w:p>
            <w:pPr>
              <w:pStyle w:val="Compact"/>
              <w:jc w:val="left"/>
            </w:pPr>
            <w:r>
              <w:t xml:space="preserve">implemented auditability, not completed institutional governance</w:t>
            </w:r>
          </w:p>
        </w:tc>
      </w:tr>
    </w:tbl>
    <w:bookmarkEnd w:id="51"/>
    <w:p>
      <w:pPr>
        <w:pStyle w:val="BodyText"/>
      </w:pPr>
      <w:r>
        <w:t xml:space="preserve">Prior work supplies mature components for scholarly graphs, retrieval, recommendation, RAG, topic models, human–AI interaction, and documentation. The gap addressed here is their evidence-calibrated integration for a small laboratory: full-paper ingestion; paper/chunk/page/section traceability; source-fact, future-work, inference, and suggestion separation; evidence-only and generative recommendation modes; attributable review; and failure-oriented evaluation. The contribution is an engineered and evaluated integration, not a new foundational model, a complete bibliographic index, or a validated educational intervention.</w:t>
      </w:r>
    </w:p>
    <w:bookmarkEnd w:id="52"/>
    <w:bookmarkEnd w:id="53"/>
    <w:bookmarkStart w:id="67" w:name="ch:methodology"/>
    <w:p>
      <w:pPr>
        <w:pStyle w:val="Heading1"/>
      </w:pPr>
      <w:r>
        <w:rPr>
          <w:rStyle w:val="SectionNumber"/>
        </w:rPr>
        <w:t xml:space="preserve">5</w:t>
      </w:r>
      <w:r>
        <w:tab/>
      </w:r>
      <w:r>
        <w:t xml:space="preserve">Methodology</w:t>
      </w:r>
    </w:p>
    <w:bookmarkStart w:id="54" w:name="study-design"/>
    <w:p>
      <w:pPr>
        <w:pStyle w:val="Heading2"/>
      </w:pPr>
      <w:r>
        <w:rPr>
          <w:rStyle w:val="SectionNumber"/>
        </w:rPr>
        <w:t xml:space="preserve">5.1</w:t>
      </w:r>
      <w:r>
        <w:tab/>
      </w:r>
      <w:r>
        <w:t xml:space="preserve">Study design</w:t>
      </w:r>
    </w:p>
    <w:p>
      <w:pPr>
        <w:pStyle w:val="FirstParagraph"/>
      </w:pPr>
      <w:r>
        <w:t xml:space="preserve">The study is an executed artefact-oriented design-science/engineering case study combined with controlled offline evaluation. The unit of engineering analysis is a versioned corpus-and-system snapshot. The unit of retrieval and QA analysis is a question case. The unit of recommendation analysis is a synthetic project profile. The unit of topic analysis is a paper case. Performance measurements use one operation or route workload per repetition. No human participants were recruited.</w:t>
      </w:r>
    </w:p>
    <w:p>
      <w:pPr>
        <w:pStyle w:val="BodyText"/>
      </w:pPr>
      <w:r>
        <w:t xml:space="preserve">The study proceeded through an initial six-phase evaluation and a separate remediation evaluation. The initial phases covered corpus, extraction, identity and indexes; retrieval; atomic QA/citation review; recommendation, topics/authors and generated outputs; interface/security verification; and performance, release, and reproduction. Because that evidence was repeatedly inspected while implementation defects were being diagnosed, it is retained as immutable historical v1 evidence rather than re-labelled as prospective. The later protocol froze source-derived cases, splits, code, corpus, configuration, and output contracts before its held-out execution. Every empirical label produced by either process identifies</w:t>
      </w:r>
      <w:r>
        <w:t xml:space="preserve"> </w:t>
      </w:r>
      <w:r>
        <w:rPr>
          <w:rStyle w:val="VerbatimChar"/>
        </w:rPr>
        <w:t xml:space="preserve">reviewer_type=ai</w:t>
      </w:r>
      <w:r>
        <w:t xml:space="preserve">.</w:t>
      </w:r>
    </w:p>
    <w:bookmarkEnd w:id="54"/>
    <w:bookmarkStart w:id="56" w:name="design-science-process-mapping"/>
    <w:p>
      <w:pPr>
        <w:pStyle w:val="Heading2"/>
      </w:pPr>
      <w:r>
        <w:rPr>
          <w:rStyle w:val="SectionNumber"/>
        </w:rPr>
        <w:t xml:space="preserve">5.2</w:t>
      </w:r>
      <w:r>
        <w:tab/>
      </w:r>
      <w:r>
        <w:t xml:space="preserve">Design-science process mapping</w:t>
      </w:r>
    </w:p>
    <w:p>
      <w:pPr>
        <w:pStyle w:val="FirstParagraph"/>
      </w:pPr>
      <w:r>
        <w:t xml:space="preserve">The study follows the design-science requirements that an artefact address a relevant problem and be rigorously demonstrated and evaluated</w:t>
      </w:r>
      <w:r>
        <w:t xml:space="preserve"> </w:t>
      </w:r>
      <w:r>
        <w:t xml:space="preserve">[8]</w:t>
      </w:r>
      <w:r>
        <w:t xml:space="preserve">. It also maps to the six activities in the Peffers et al. methodology</w:t>
      </w:r>
      <w:r>
        <w:t xml:space="preserve"> </w:t>
      </w:r>
      <w:r>
        <w:t xml:space="preserve">[9]</w:t>
      </w:r>
      <w:r>
        <w:t xml:space="preserve">.</w:t>
      </w:r>
      <w:r>
        <w:t xml:space="preserve"> </w:t>
      </w:r>
      <w:hyperlink w:anchor="tab:dsrm-map">
        <w:r>
          <w:rPr>
            <w:rStyle w:val="Hyperlink"/>
          </w:rPr>
          <w:t xml:space="preserve">Table 5.1</w:t>
        </w:r>
      </w:hyperlink>
      <w:r>
        <w:t xml:space="preserve"> </w:t>
      </w:r>
      <w:r>
        <w:t xml:space="preserve">records how that mapping is evidenced in this repository. The phases are not claimed to have occurred as a perfectly linear waterfall; design and evaluation iterated when a test exposed a stale index, weak abstention, unsafe review boundary, or misleading presentation state.</w:t>
      </w:r>
    </w:p>
    <w:bookmarkStart w:id="55" w:name="tab:dsrm-map"/>
    <w:p>
      <w:pPr>
        <w:pStyle w:val="TableCaption"/>
      </w:pPr>
      <w:r>
        <w:t xml:space="preserve">Table 5.1. Design-science activities mapped to executed repository evidence.</w:t>
      </w:r>
    </w:p>
    <w:tbl>
      <w:tblPr>
        <w:tblStyle w:val="Table"/>
        <w:tblW w:type="auto" w:w="0"/>
        <w:tblLook w:firstRow="1" w:lastRow="0" w:firstColumn="0" w:lastColumn="0" w:noHBand="0" w:noVBand="0" w:val="0020"/>
        <w:jc w:val="start"/>
        <w:tblCaption w:val="Table 5.1. Design-science activities mapped to executed repository evidence."/>
      </w:tblPr>
      <w:tblGrid>
        <w:gridCol w:w="2640"/>
        <w:gridCol w:w="2640"/>
        <w:gridCol w:w="2640"/>
      </w:tblGrid>
      <w:tr>
        <w:trPr>
          <w:tblHeader w:val="true"/>
          <w:cantSplit/>
        </w:trPr>
        <w:tc>
          <w:tcPr/>
          <w:p>
            <w:pPr>
              <w:pStyle w:val="Compact"/>
              <w:jc w:val="left"/>
            </w:pPr>
            <w:r>
              <w:t xml:space="preserve">Activity</w:t>
            </w:r>
          </w:p>
        </w:tc>
        <w:tc>
          <w:tcPr/>
          <w:p>
            <w:pPr>
              <w:pStyle w:val="Compact"/>
              <w:jc w:val="left"/>
            </w:pPr>
            <w:r>
              <w:t xml:space="preserve">Project interpretation</w:t>
            </w:r>
          </w:p>
        </w:tc>
        <w:tc>
          <w:tcPr/>
          <w:p>
            <w:pPr>
              <w:pStyle w:val="Compact"/>
              <w:jc w:val="left"/>
            </w:pPr>
            <w:r>
              <w:t xml:space="preserve">Executed evidence</w:t>
            </w:r>
          </w:p>
        </w:tc>
      </w:tr>
      <w:tr>
        <w:trPr>
          <w:cantSplit/>
        </w:trPr>
        <w:tc>
          <w:tcPr/>
          <w:p>
            <w:pPr>
              <w:pStyle w:val="Compact"/>
              <w:jc w:val="left"/>
            </w:pPr>
            <w:r>
              <w:t xml:space="preserve">Problem identification</w:t>
            </w:r>
          </w:p>
        </w:tc>
        <w:tc>
          <w:tcPr/>
          <w:p>
            <w:pPr>
              <w:pStyle w:val="Compact"/>
              <w:jc w:val="left"/>
            </w:pPr>
            <w:r>
              <w:t xml:space="preserve">publication lists do not support inspectable full-text discovery or bounded project formulation</w:t>
            </w:r>
          </w:p>
        </w:tc>
        <w:tc>
          <w:tcPr/>
          <w:p>
            <w:pPr>
              <w:pStyle w:val="Compact"/>
              <w:jc w:val="left"/>
            </w:pPr>
            <w:r>
              <w:t xml:space="preserve">problem statement; supervisor direction; corpus and interface audit</w:t>
            </w:r>
          </w:p>
        </w:tc>
      </w:tr>
      <w:tr>
        <w:trPr>
          <w:cantSplit/>
        </w:trPr>
        <w:tc>
          <w:tcPr/>
          <w:p>
            <w:pPr>
              <w:pStyle w:val="Compact"/>
              <w:jc w:val="left"/>
            </w:pPr>
            <w:r>
              <w:t xml:space="preserve">Objectives</w:t>
            </w:r>
          </w:p>
        </w:tc>
        <w:tc>
          <w:tcPr/>
          <w:p>
            <w:pPr>
              <w:pStyle w:val="Compact"/>
              <w:jc w:val="left"/>
            </w:pPr>
            <w:r>
              <w:t xml:space="preserve">preserve evidence, expose uncertainty, support discovery/advice, and remain demoable on a small lawful corpus</w:t>
            </w:r>
          </w:p>
        </w:tc>
        <w:tc>
          <w:tcPr/>
          <w:p>
            <w:pPr>
              <w:pStyle w:val="Compact"/>
              <w:jc w:val="left"/>
            </w:pPr>
            <w:r>
              <w:t xml:space="preserve">RQ/objective table; data and API contracts; scope exclusions</w:t>
            </w:r>
          </w:p>
        </w:tc>
      </w:tr>
      <w:tr>
        <w:trPr>
          <w:cantSplit/>
        </w:trPr>
        <w:tc>
          <w:tcPr/>
          <w:p>
            <w:pPr>
              <w:pStyle w:val="Compact"/>
              <w:jc w:val="left"/>
            </w:pPr>
            <w:r>
              <w:t xml:space="preserve">Design/development</w:t>
            </w:r>
          </w:p>
        </w:tc>
        <w:tc>
          <w:tcPr/>
          <w:p>
            <w:pPr>
              <w:pStyle w:val="Compact"/>
              <w:jc w:val="left"/>
            </w:pPr>
            <w:r>
              <w:t xml:space="preserve">build corpus/index, retrieval, Ask, Finder, explorer, evaluation, and review surfaces</w:t>
            </w:r>
          </w:p>
        </w:tc>
        <w:tc>
          <w:tcPr/>
          <w:p>
            <w:pPr>
              <w:pStyle w:val="Compact"/>
              <w:jc w:val="left"/>
            </w:pPr>
            <w:r>
              <w:t xml:space="preserve">versioned backend/frontend; schemas; manifests; code-native figures</w:t>
            </w:r>
          </w:p>
        </w:tc>
      </w:tr>
      <w:tr>
        <w:trPr>
          <w:cantSplit/>
        </w:trPr>
        <w:tc>
          <w:tcPr/>
          <w:p>
            <w:pPr>
              <w:pStyle w:val="Compact"/>
              <w:jc w:val="left"/>
            </w:pPr>
            <w:r>
              <w:t xml:space="preserve">Demonstration</w:t>
            </w:r>
          </w:p>
        </w:tc>
        <w:tc>
          <w:tcPr/>
          <w:p>
            <w:pPr>
              <w:pStyle w:val="Compact"/>
              <w:jc w:val="left"/>
            </w:pPr>
            <w:r>
              <w:t xml:space="preserve">execute primary workflows on the frozen authorized corpus</w:t>
            </w:r>
          </w:p>
        </w:tc>
        <w:tc>
          <w:tcPr/>
          <w:p>
            <w:pPr>
              <w:pStyle w:val="Compact"/>
              <w:jc w:val="left"/>
            </w:pPr>
            <w:r>
              <w:t xml:space="preserve">runtime probe; captured Ask/Evaluation states; Finder and Admin route traces</w:t>
            </w:r>
          </w:p>
        </w:tc>
      </w:tr>
      <w:tr>
        <w:trPr>
          <w:cantSplit/>
        </w:trPr>
        <w:tc>
          <w:tcPr/>
          <w:p>
            <w:pPr>
              <w:pStyle w:val="Compact"/>
              <w:jc w:val="left"/>
            </w:pPr>
            <w:r>
              <w:t xml:space="preserve">Evaluation</w:t>
            </w:r>
          </w:p>
        </w:tc>
        <w:tc>
          <w:tcPr/>
          <w:p>
            <w:pPr>
              <w:pStyle w:val="Compact"/>
              <w:jc w:val="left"/>
            </w:pPr>
            <w:r>
              <w:t xml:space="preserve">measure data integrity, retrieval, QA, recommendation, topics, review, performance, and interface contracts</w:t>
            </w:r>
          </w:p>
        </w:tc>
        <w:tc>
          <w:tcPr/>
          <w:p>
            <w:pPr>
              <w:pStyle w:val="Compact"/>
              <w:jc w:val="left"/>
            </w:pPr>
            <w:r>
              <w:t xml:space="preserve">phase artefacts; raw cases; statistics; backend/frontend tests; PDF preflight</w:t>
            </w:r>
          </w:p>
        </w:tc>
      </w:tr>
      <w:tr>
        <w:trPr>
          <w:cantSplit/>
        </w:trPr>
        <w:tc>
          <w:tcPr/>
          <w:p>
            <w:pPr>
              <w:pStyle w:val="Compact"/>
              <w:jc w:val="left"/>
            </w:pPr>
            <w:r>
              <w:t xml:space="preserve">Communication</w:t>
            </w:r>
          </w:p>
        </w:tc>
        <w:tc>
          <w:tcPr/>
          <w:p>
            <w:pPr>
              <w:pStyle w:val="Compact"/>
              <w:jc w:val="left"/>
            </w:pPr>
            <w:r>
              <w:t xml:space="preserve">report positive and negative findings with reproducible boundaries</w:t>
            </w:r>
          </w:p>
        </w:tc>
        <w:tc>
          <w:tcPr/>
          <w:p>
            <w:pPr>
              <w:pStyle w:val="Compact"/>
              <w:jc w:val="left"/>
            </w:pPr>
            <w:r>
              <w:t xml:space="preserve">thesis/paper; appendices; sanitized bundle; evidence and remediation registers</w:t>
            </w:r>
          </w:p>
        </w:tc>
      </w:tr>
    </w:tbl>
    <w:bookmarkEnd w:id="55"/>
    <w:p>
      <w:pPr>
        <w:pStyle w:val="BodyText"/>
      </w:pPr>
      <w:r>
        <w:t xml:space="preserve">The central design claim is a pattern rather than an isolated screen: an output is reviewable when its source unit, transformation/configuration, uncertainty, and correction state survive every boundary that serializes or displays it. That principle produced several constructs: eligibility state for corpus membership; manifest state for indexes; citation and warning structures for answers; fact/future-work/gap/suggestion types for recommendations; controlled-label evidence for topics; canonical/alias states for authors; and actor-typed, hash-linked events for review. The evaluation asks whether each construct is populated and whether its implied quality claim survives stricter case-level analysis.</w:t>
      </w:r>
    </w:p>
    <w:bookmarkEnd w:id="56"/>
    <w:bookmarkStart w:id="58" w:name="requirement-to-failure-logic"/>
    <w:p>
      <w:pPr>
        <w:pStyle w:val="Heading2"/>
      </w:pPr>
      <w:r>
        <w:rPr>
          <w:rStyle w:val="SectionNumber"/>
        </w:rPr>
        <w:t xml:space="preserve">5.3</w:t>
      </w:r>
      <w:r>
        <w:tab/>
      </w:r>
      <w:r>
        <w:t xml:space="preserve">Requirement-to-failure logic</w:t>
      </w:r>
    </w:p>
    <w:p>
      <w:pPr>
        <w:pStyle w:val="FirstParagraph"/>
      </w:pPr>
      <w:r>
        <w:t xml:space="preserve">Implementation requirements were derived from observable failure modes rather than feature names. A</w:t>
      </w:r>
      <w:r>
        <w:t xml:space="preserve"> </w:t>
      </w:r>
      <w:r>
        <w:t xml:space="preserve">“</w:t>
      </w:r>
      <w:r>
        <w:t xml:space="preserve">semantic search</w:t>
      </w:r>
      <w:r>
        <w:t xml:space="preserve">”</w:t>
      </w:r>
      <w:r>
        <w:t xml:space="preserve"> </w:t>
      </w:r>
      <w:r>
        <w:t xml:space="preserve">requirement, for example, would prejudge the dense model; the operational requirement is instead to expose independently identified retrieval modes and compare them. A</w:t>
      </w:r>
      <w:r>
        <w:t xml:space="preserve"> </w:t>
      </w:r>
      <w:r>
        <w:t xml:space="preserve">“</w:t>
      </w:r>
      <w:r>
        <w:t xml:space="preserve">grounded answer</w:t>
      </w:r>
      <w:r>
        <w:t xml:space="preserve">”</w:t>
      </w:r>
      <w:r>
        <w:t xml:space="preserve"> </w:t>
      </w:r>
      <w:r>
        <w:t xml:space="preserve">requirement would conflate locators with entailment; the requirement is to return citations and warnings, then evaluate claim support, citation correctness, completeness, and abstention separately. A</w:t>
      </w:r>
      <w:r>
        <w:t xml:space="preserve"> </w:t>
      </w:r>
      <w:r>
        <w:t xml:space="preserve">“</w:t>
      </w:r>
      <w:r>
        <w:t xml:space="preserve">thesis recommender</w:t>
      </w:r>
      <w:r>
        <w:t xml:space="preserve">”</w:t>
      </w:r>
      <w:r>
        <w:t xml:space="preserve"> </w:t>
      </w:r>
      <w:r>
        <w:t xml:space="preserve">requirement could imply assignment authority; the requirement is to rank source evidence and place generated extensions behind a clearly labelled, optional boundary. The resulting falsification-oriented mapping is summarized in</w:t>
      </w:r>
      <w:r>
        <w:t xml:space="preserve"> </w:t>
      </w:r>
      <w:hyperlink w:anchor="tab:failure-logic">
        <w:r>
          <w:rPr>
            <w:rStyle w:val="Hyperlink"/>
          </w:rPr>
          <w:t xml:space="preserve">Table 5.2</w:t>
        </w:r>
      </w:hyperlink>
      <w:r>
        <w:t xml:space="preserve">.</w:t>
      </w:r>
    </w:p>
    <w:bookmarkStart w:id="57" w:name="tab:failure-logic"/>
    <w:p>
      <w:pPr>
        <w:pStyle w:val="TableCaption"/>
      </w:pPr>
      <w:r>
        <w:t xml:space="preserve">Table 5.2. Observed risk, design response, and falsifying evidence.</w:t>
      </w:r>
    </w:p>
    <w:tbl>
      <w:tblPr>
        <w:tblStyle w:val="Table"/>
        <w:tblW w:type="auto" w:w="0"/>
        <w:tblLook w:firstRow="1" w:lastRow="0" w:firstColumn="0" w:lastColumn="0" w:noHBand="0" w:noVBand="0" w:val="0020"/>
        <w:jc w:val="start"/>
        <w:tblCaption w:val="Table 5.2. Observed risk, design response, and falsifying evidence."/>
      </w:tblPr>
      <w:tblGrid>
        <w:gridCol w:w="2640"/>
        <w:gridCol w:w="2640"/>
        <w:gridCol w:w="2640"/>
      </w:tblGrid>
      <w:tr>
        <w:trPr>
          <w:tblHeader w:val="true"/>
          <w:cantSplit/>
        </w:trPr>
        <w:tc>
          <w:tcPr/>
          <w:p>
            <w:pPr>
              <w:pStyle w:val="Compact"/>
              <w:jc w:val="left"/>
            </w:pPr>
            <w:r>
              <w:t xml:space="preserve">Observed risk</w:t>
            </w:r>
          </w:p>
        </w:tc>
        <w:tc>
          <w:tcPr/>
          <w:p>
            <w:pPr>
              <w:pStyle w:val="Compact"/>
              <w:jc w:val="left"/>
            </w:pPr>
            <w:r>
              <w:t xml:space="preserve">Design response</w:t>
            </w:r>
          </w:p>
        </w:tc>
        <w:tc>
          <w:tcPr/>
          <w:p>
            <w:pPr>
              <w:pStyle w:val="Compact"/>
              <w:jc w:val="left"/>
            </w:pPr>
            <w:r>
              <w:t xml:space="preserve">Evidence that can falsify success</w:t>
            </w:r>
          </w:p>
        </w:tc>
      </w:tr>
      <w:tr>
        <w:trPr>
          <w:cantSplit/>
        </w:trPr>
        <w:tc>
          <w:tcPr/>
          <w:p>
            <w:pPr>
              <w:pStyle w:val="Compact"/>
              <w:jc w:val="left"/>
            </w:pPr>
            <w:r>
              <w:t xml:space="preserve">wrong or unavailable document enters search</w:t>
            </w:r>
          </w:p>
        </w:tc>
        <w:tc>
          <w:tcPr/>
          <w:p>
            <w:pPr>
              <w:pStyle w:val="Compact"/>
              <w:jc w:val="left"/>
            </w:pPr>
            <w:r>
              <w:t xml:space="preserve">title/content eligibility and persistent unavailable/mismatch states</w:t>
            </w:r>
          </w:p>
        </w:tc>
        <w:tc>
          <w:tcPr/>
          <w:p>
            <w:pPr>
              <w:pStyle w:val="Compact"/>
              <w:jc w:val="left"/>
            </w:pPr>
            <w:r>
              <w:t xml:space="preserve">audit counts; excluded IDs; source hashes; extraction diagnostics</w:t>
            </w:r>
          </w:p>
        </w:tc>
      </w:tr>
      <w:tr>
        <w:trPr>
          <w:cantSplit/>
        </w:trPr>
        <w:tc>
          <w:tcPr/>
          <w:p>
            <w:pPr>
              <w:pStyle w:val="Compact"/>
              <w:jc w:val="left"/>
            </w:pPr>
            <w:r>
              <w:t xml:space="preserve">derived index silently covers a subset</w:t>
            </w:r>
          </w:p>
        </w:tc>
        <w:tc>
          <w:tcPr/>
          <w:p>
            <w:pPr>
              <w:pStyle w:val="Compact"/>
              <w:jc w:val="left"/>
            </w:pPr>
            <w:r>
              <w:t xml:space="preserve">ordered corpus/configuration manifest and startup rejection</w:t>
            </w:r>
          </w:p>
        </w:tc>
        <w:tc>
          <w:tcPr/>
          <w:p>
            <w:pPr>
              <w:pStyle w:val="Compact"/>
              <w:jc w:val="left"/>
            </w:pPr>
            <w:r>
              <w:t xml:space="preserve">coverage/hash mismatch tests; readiness state</w:t>
            </w:r>
          </w:p>
        </w:tc>
      </w:tr>
      <w:tr>
        <w:trPr>
          <w:cantSplit/>
        </w:trPr>
        <w:tc>
          <w:tcPr/>
          <w:p>
            <w:pPr>
              <w:pStyle w:val="Compact"/>
              <w:jc w:val="left"/>
            </w:pPr>
            <w:r>
              <w:t xml:space="preserve">retrieval label implies superiority</w:t>
            </w:r>
          </w:p>
        </w:tc>
        <w:tc>
          <w:tcPr/>
          <w:p>
            <w:pPr>
              <w:pStyle w:val="Compact"/>
              <w:jc w:val="left"/>
            </w:pPr>
            <w:r>
              <w:t xml:space="preserve">explicit mode names, shared protocol, tuning split, ablation</w:t>
            </w:r>
          </w:p>
        </w:tc>
        <w:tc>
          <w:tcPr/>
          <w:p>
            <w:pPr>
              <w:pStyle w:val="Compact"/>
              <w:jc w:val="left"/>
            </w:pPr>
            <w:r>
              <w:t xml:space="preserve">held-out rankings; paired statistics; negative comparisons</w:t>
            </w:r>
          </w:p>
        </w:tc>
      </w:tr>
      <w:tr>
        <w:trPr>
          <w:cantSplit/>
        </w:trPr>
        <w:tc>
          <w:tcPr/>
          <w:p>
            <w:pPr>
              <w:pStyle w:val="Compact"/>
              <w:jc w:val="left"/>
            </w:pPr>
            <w:r>
              <w:t xml:space="preserve">citation badge implies a correct answer</w:t>
            </w:r>
          </w:p>
        </w:tc>
        <w:tc>
          <w:tcPr/>
          <w:p>
            <w:pPr>
              <w:pStyle w:val="Compact"/>
              <w:jc w:val="left"/>
            </w:pPr>
            <w:r>
              <w:t xml:space="preserve">structured citations plus separate claim, link, point, and abstention review</w:t>
            </w:r>
          </w:p>
        </w:tc>
        <w:tc>
          <w:tcPr/>
          <w:p>
            <w:pPr>
              <w:pStyle w:val="Compact"/>
              <w:jc w:val="left"/>
            </w:pPr>
            <w:r>
              <w:t xml:space="preserve">partial/incorrect links; missing points; false-positive answers</w:t>
            </w:r>
          </w:p>
        </w:tc>
      </w:tr>
      <w:tr>
        <w:trPr>
          <w:cantSplit/>
        </w:trPr>
        <w:tc>
          <w:tcPr/>
          <w:p>
            <w:pPr>
              <w:pStyle w:val="Compact"/>
              <w:jc w:val="left"/>
            </w:pPr>
            <w:r>
              <w:t xml:space="preserve">paper facts become generated</w:t>
            </w:r>
            <w:r>
              <w:t xml:space="preserve"> </w:t>
            </w:r>
            <w:r>
              <w:t xml:space="preserve">“</w:t>
            </w:r>
            <w:r>
              <w:t xml:space="preserve">future work</w:t>
            </w:r>
            <w:r>
              <w:t xml:space="preserve">”</w:t>
            </w:r>
          </w:p>
        </w:tc>
        <w:tc>
          <w:tcPr/>
          <w:p>
            <w:pPr>
              <w:pStyle w:val="Compact"/>
              <w:jc w:val="left"/>
            </w:pPr>
            <w:r>
              <w:t xml:space="preserve">typed baseline, explicit/inferred/missing gap, and suggestion fields</w:t>
            </w:r>
          </w:p>
        </w:tc>
        <w:tc>
          <w:tcPr/>
          <w:p>
            <w:pPr>
              <w:pStyle w:val="Compact"/>
              <w:jc w:val="left"/>
            </w:pPr>
            <w:r>
              <w:t xml:space="preserve">source-locator checks; boundary criterion decisions</w:t>
            </w:r>
          </w:p>
        </w:tc>
      </w:tr>
      <w:tr>
        <w:trPr>
          <w:cantSplit/>
        </w:trPr>
        <w:tc>
          <w:tcPr/>
          <w:p>
            <w:pPr>
              <w:pStyle w:val="Compact"/>
              <w:jc w:val="left"/>
            </w:pPr>
            <w:r>
              <w:t xml:space="preserve">topic/author link implies verified expertise</w:t>
            </w:r>
          </w:p>
        </w:tc>
        <w:tc>
          <w:tcPr/>
          <w:p>
            <w:pPr>
              <w:pStyle w:val="Compact"/>
              <w:jc w:val="left"/>
            </w:pPr>
            <w:r>
              <w:t xml:space="preserve">controlled evidence and publication-derived qualifier; conservative identity candidates</w:t>
            </w:r>
          </w:p>
        </w:tc>
        <w:tc>
          <w:tcPr/>
          <w:p>
            <w:pPr>
              <w:pStyle w:val="Compact"/>
              <w:jc w:val="left"/>
            </w:pPr>
            <w:r>
              <w:t xml:space="preserve">per-label errors; identity/source audit</w:t>
            </w:r>
          </w:p>
        </w:tc>
      </w:tr>
      <w:tr>
        <w:trPr>
          <w:cantSplit/>
        </w:trPr>
        <w:tc>
          <w:tcPr/>
          <w:p>
            <w:pPr>
              <w:pStyle w:val="Compact"/>
              <w:jc w:val="left"/>
            </w:pPr>
            <w:r>
              <w:t xml:space="preserve">correction erases history or AI impersonates a human</w:t>
            </w:r>
          </w:p>
        </w:tc>
        <w:tc>
          <w:tcPr/>
          <w:p>
            <w:pPr>
              <w:pStyle w:val="Compact"/>
              <w:jc w:val="left"/>
            </w:pPr>
            <w:r>
              <w:t xml:space="preserve">append-only actor-typed events and role-restricted states</w:t>
            </w:r>
          </w:p>
        </w:tc>
        <w:tc>
          <w:tcPr/>
          <w:p>
            <w:pPr>
              <w:pStyle w:val="Compact"/>
              <w:jc w:val="left"/>
            </w:pPr>
            <w:r>
              <w:t xml:space="preserve">mutation/role tests; event-chain and idempotence checks</w:t>
            </w:r>
          </w:p>
        </w:tc>
      </w:tr>
      <w:tr>
        <w:trPr>
          <w:cantSplit/>
        </w:trPr>
        <w:tc>
          <w:tcPr/>
          <w:p>
            <w:pPr>
              <w:pStyle w:val="Compact"/>
              <w:jc w:val="left"/>
            </w:pPr>
            <w:r>
              <w:t xml:space="preserve">passing UI appears equivalent to human validation</w:t>
            </w:r>
          </w:p>
        </w:tc>
        <w:tc>
          <w:tcPr/>
          <w:p>
            <w:pPr>
              <w:pStyle w:val="Compact"/>
              <w:jc w:val="left"/>
            </w:pPr>
            <w:r>
              <w:t xml:space="preserve">requirement/API/view/test trace plus explicit human-study boundary</w:t>
            </w:r>
          </w:p>
        </w:tc>
        <w:tc>
          <w:tcPr/>
          <w:p>
            <w:pPr>
              <w:pStyle w:val="Compact"/>
              <w:jc w:val="left"/>
            </w:pPr>
            <w:r>
              <w:t xml:space="preserve">automated failures; missing user/assistive-technology study</w:t>
            </w:r>
          </w:p>
        </w:tc>
      </w:tr>
    </w:tbl>
    <w:bookmarkEnd w:id="57"/>
    <w:bookmarkEnd w:id="58"/>
    <w:bookmarkStart w:id="59" w:name="X96a59829db8b2f9b673999d3e8221d81d98f578"/>
    <w:p>
      <w:pPr>
        <w:pStyle w:val="Heading2"/>
      </w:pPr>
      <w:r>
        <w:rPr>
          <w:rStyle w:val="SectionNumber"/>
        </w:rPr>
        <w:t xml:space="preserve">5.4</w:t>
      </w:r>
      <w:r>
        <w:tab/>
      </w:r>
      <w:r>
        <w:t xml:space="preserve">Evidence hierarchy and reproducibility controls</w:t>
      </w:r>
    </w:p>
    <w:p>
      <w:pPr>
        <w:pStyle w:val="FirstParagraph"/>
      </w:pPr>
      <w:r>
        <w:t xml:space="preserve">Claims were admitted only when supported by an authoritative source:</w:t>
      </w:r>
    </w:p>
    <w:p>
      <w:pPr>
        <w:numPr>
          <w:ilvl w:val="0"/>
          <w:numId w:val="1004"/>
        </w:numPr>
      </w:pPr>
      <w:r>
        <w:t xml:space="preserve">immutable or hash-linked manifests establish corpus, model, index, and release identity;</w:t>
      </w:r>
    </w:p>
    <w:p>
      <w:pPr>
        <w:numPr>
          <w:ilvl w:val="0"/>
          <w:numId w:val="1004"/>
        </w:numPr>
      </w:pPr>
      <w:r>
        <w:t xml:space="preserve">raw case-level outputs establish executed experimental observations;</w:t>
      </w:r>
    </w:p>
    <w:p>
      <w:pPr>
        <w:numPr>
          <w:ilvl w:val="0"/>
          <w:numId w:val="1004"/>
        </w:numPr>
      </w:pPr>
      <w:r>
        <w:t xml:space="preserve">evaluation code and unit tests establish metric definitions and implementation behavior;</w:t>
      </w:r>
    </w:p>
    <w:p>
      <w:pPr>
        <w:numPr>
          <w:ilvl w:val="0"/>
          <w:numId w:val="1004"/>
        </w:numPr>
      </w:pPr>
      <w:r>
        <w:t xml:space="preserve">database integrity checks and protected runtime probes establish current operational state;</w:t>
      </w:r>
    </w:p>
    <w:p>
      <w:pPr>
        <w:numPr>
          <w:ilvl w:val="0"/>
          <w:numId w:val="1004"/>
        </w:numPr>
      </w:pPr>
      <w:r>
        <w:t xml:space="preserve">automated frontend and security tests establish the tested interface contracts; and</w:t>
      </w:r>
    </w:p>
    <w:p>
      <w:pPr>
        <w:numPr>
          <w:ilvl w:val="0"/>
          <w:numId w:val="1004"/>
        </w:numPr>
      </w:pPr>
      <w:r>
        <w:t xml:space="preserve">compiled/rendered documents establish publication artefact quality.</w:t>
      </w:r>
    </w:p>
    <w:p>
      <w:pPr>
        <w:pStyle w:val="FirstParagraph"/>
      </w:pPr>
      <w:r>
        <w:t xml:space="preserve">Generated manuscript macros and tables are produced from frozen JSON artefacts by</w:t>
      </w:r>
      <w:r>
        <w:t xml:space="preserve"> </w:t>
      </w:r>
      <w:r>
        <w:rPr>
          <w:rStyle w:val="VerbatimChar"/>
        </w:rPr>
        <w:t xml:space="preserve">thesis/scripts/generate_manuscript_assets.py</w:t>
      </w:r>
      <w:r>
        <w:t xml:space="preserve">; their input and output hashes are recorded in</w:t>
      </w:r>
      <w:r>
        <w:t xml:space="preserve"> </w:t>
      </w:r>
      <w:r>
        <w:rPr>
          <w:rStyle w:val="VerbatimChar"/>
        </w:rPr>
        <w:t xml:space="preserve">thesis/generated/manuscript_metrics_manifest.json</w:t>
      </w:r>
      <w:r>
        <w:t xml:space="preserve">. The remediation package is completed and validated and its source revision prefix is</w:t>
      </w:r>
      <w:r>
        <w:t xml:space="preserve"> </w:t>
      </w:r>
      <w:r>
        <w:rPr>
          <w:rStyle w:val="VerbatimChar"/>
        </w:rPr>
        <w:t xml:space="preserve">0d4b9bdcb657</w:t>
      </w:r>
      <w:r>
        <w:t xml:space="preserve">. The generator refuses a partial package and imports every remediation numerical result from its validated macro file; hand-entered copies are rejected by manuscript validation. Tests and build counts are reported only as engineering verification, never as quality metrics.</w:t>
      </w:r>
    </w:p>
    <w:p>
      <w:pPr>
        <w:pStyle w:val="BodyText"/>
      </w:pPr>
      <w:r>
        <w:t xml:space="preserve">The evidence hierarchy also separates committed application state from generated manuscript state. The manuscript manifest records the committed base commit/tree, the exact generator hash, each input hash, and each output hash. Generated files and compiled PDFs form an explicit dirty-output boundary; they are not silently attributed to the earlier performance execution revision. Corpus snapshot, model revision/hash, evaluation artefact revisions, manuscript source state, and PDF hash are related identifiers, not interchangeable meanings of</w:t>
      </w:r>
      <w:r>
        <w:t xml:space="preserve"> </w:t>
      </w:r>
      <w:r>
        <w:t xml:space="preserve">“</w:t>
      </w:r>
      <w:r>
        <w:t xml:space="preserve">version.</w:t>
      </w:r>
      <w:r>
        <w:t xml:space="preserve">”</w:t>
      </w:r>
    </w:p>
    <w:p>
      <w:pPr>
        <w:pStyle w:val="BodyText"/>
      </w:pPr>
      <w:r>
        <w:t xml:space="preserve">The immutable historical v1 artefacts retain their negative findings but are classified as post-selection diagnosis. The prospective remediation protocol instead froze source locators, answer points, absence probes, profile needs, known-positive topics, split IDs, code, corpus, configuration, and environment before held-out execution. It reconciles PDF–extraction–chunk generations on a temporary database, rebuilds keyword search, runs once, performs a shuffled second AI-silver review, retains disagreements, and recomputes cluster-bootstrap intervals. Same-process repeatability is not independent reliability or human validation; intervals omit label and corpus-selection uncertainty. Rights-sensitive answers, snippets, and recommendations remain ignored locally while structural outputs and hashes are versioned.</w:t>
      </w:r>
    </w:p>
    <w:p>
      <w:pPr>
        <w:pStyle w:val="BodyText"/>
      </w:pPr>
      <w:r>
        <w:t xml:space="preserve">The run binds source</w:t>
      </w:r>
      <w:r>
        <w:t xml:space="preserve"> </w:t>
      </w:r>
      <w:r>
        <w:rPr>
          <w:rStyle w:val="VerbatimChar"/>
        </w:rPr>
        <w:t xml:space="preserve">0d4b9bdcb657</w:t>
      </w:r>
      <w:r>
        <w:t xml:space="preserve"> </w:t>
      </w:r>
      <w:r>
        <w:t xml:space="preserve">to technical corpus</w:t>
      </w:r>
      <w:r>
        <w:t xml:space="preserve"> </w:t>
      </w:r>
      <w:r>
        <w:rPr>
          <w:rStyle w:val="VerbatimChar"/>
        </w:rPr>
        <w:t xml:space="preserve">corpus-f4638c633bea82b0</w:t>
      </w:r>
      <w:r>
        <w:t xml:space="preserve"> </w:t>
      </w:r>
      <w:r>
        <w:t xml:space="preserve">(96 papers; 719 chunks), scope technical only, and public-projection execution no. Technical eligibility requires matching extraction/chunk generations; public delivery additionally requires human approval, published state, cleared rights, searchable access, approved extraction, and a current public generation. Selective QA fixes keyword retrieval and the</w:t>
      </w:r>
      <w:r>
        <w:t xml:space="preserve"> </w:t>
      </w:r>
      <w:r>
        <w:rPr>
          <w:rStyle w:val="VerbatimChar"/>
        </w:rPr>
        <w:t xml:space="preserve">offline_extractive</w:t>
      </w:r>
      <w:r>
        <w:t xml:space="preserve">/</w:t>
      </w:r>
      <w:r>
        <w:rPr>
          <w:rStyle w:val="VerbatimChar"/>
        </w:rPr>
        <w:t xml:space="preserve">sentence-overlap-v1</w:t>
      </w:r>
      <w:r>
        <w:t xml:space="preserve"> </w:t>
      </w:r>
      <w:r>
        <w:t xml:space="preserve">path. Finder pairs evidence-only and</w:t>
      </w:r>
      <w:r>
        <w:t xml:space="preserve"> </w:t>
      </w:r>
      <w:r>
        <w:rPr>
          <w:rStyle w:val="VerbatimChar"/>
        </w:rPr>
        <w:t xml:space="preserve">template-recommender-v1</w:t>
      </w:r>
      <w:r>
        <w:t xml:space="preserve"> </w:t>
      </w:r>
      <w:r>
        <w:t xml:space="preserve">rankings. controlled lexical rules is evaluated only for known-positive recall, and the</w:t>
      </w:r>
      <w:r>
        <w:t xml:space="preserve"> </w:t>
      </w:r>
      <w:r>
        <w:rPr>
          <w:rStyle w:val="VerbatimChar"/>
        </w:rPr>
        <w:t xml:space="preserve">tesseract</w:t>
      </w:r>
      <w:r>
        <w:t xml:space="preserve"> </w:t>
      </w:r>
      <w:r>
        <w:t xml:space="preserve">fixture exercises the parser without claiming scanned-corpus accuracy.</w:t>
      </w:r>
    </w:p>
    <w:bookmarkEnd w:id="59"/>
    <w:bookmarkStart w:id="60" w:name="corpus-freeze-and-inclusion-rules"/>
    <w:p>
      <w:pPr>
        <w:pStyle w:val="Heading2"/>
      </w:pPr>
      <w:r>
        <w:rPr>
          <w:rStyle w:val="SectionNumber"/>
        </w:rPr>
        <w:t xml:space="preserve">5.5</w:t>
      </w:r>
      <w:r>
        <w:tab/>
      </w:r>
      <w:r>
        <w:t xml:space="preserve">Corpus freeze and inclusion rules</w:t>
      </w:r>
    </w:p>
    <w:p>
      <w:pPr>
        <w:pStyle w:val="FirstParagraph"/>
      </w:pPr>
      <w:r>
        <w:t xml:space="preserve">Catalog records were retained even when full text was unavailable. A paper entered the experimental full-text corpus only when its PDF was present, extractable, and its identity passed title/document checks. Suspected PDF/title mismatches were excluded, not repaired by assumption. Every eligible chunk’s identifier and source hash contributes to the ordered corpus snapshot hash. The authoritative corpus is</w:t>
      </w:r>
      <w:r>
        <w:t xml:space="preserve"> </w:t>
      </w:r>
      <w:r>
        <w:rPr>
          <w:rStyle w:val="VerbatimChar"/>
        </w:rPr>
        <w:t xml:space="preserve">corpus-f4638c633bea82b0</w:t>
      </w:r>
      <w:r>
        <w:t xml:space="preserve">, comprising 96 papers and 719 chunks. The catalog additionally contains 36 records requiring text acquisition/review and 2 mismatch exclusions.</w:t>
      </w:r>
    </w:p>
    <w:bookmarkEnd w:id="60"/>
    <w:bookmarkStart w:id="61" w:name="X19906e4d8fec7df97837d41f9f4d9e93bcf1ba5"/>
    <w:p>
      <w:pPr>
        <w:pStyle w:val="Heading2"/>
      </w:pPr>
      <w:r>
        <w:rPr>
          <w:rStyle w:val="SectionNumber"/>
        </w:rPr>
        <w:t xml:space="preserve">5.6</w:t>
      </w:r>
      <w:r>
        <w:tab/>
      </w:r>
      <w:r>
        <w:t xml:space="preserve">Historical v1 AI-reviewed silver annotation</w:t>
      </w:r>
    </w:p>
    <w:p>
      <w:pPr>
        <w:pStyle w:val="FirstParagraph"/>
      </w:pPr>
      <w:r>
        <w:t xml:space="preserve">The historical retrieval cases were constructed from source passages and stratified by exact fact, methods, results, limitations/future work, title/author/venue, topic/application, comparison, broad intent, multi-paper synthesis, hard negative, and out-of-corpus intent. A creation pass recorded relevant paper IDs, supporting chunks/pages, rationale, and answerability. A later shuffled verification pass checked labels without access to system rankings. Creation/verification disagreements and adjudication were retained. Because the same AI reviewer process performed both passes, consistency is described as annotation consistency, not inter-rater reliability.</w:t>
      </w:r>
    </w:p>
    <w:p>
      <w:pPr>
        <w:pStyle w:val="BodyText"/>
      </w:pPr>
      <w:r>
        <w:t xml:space="preserve">Historical QA review used a related 50-case set with 46 answerable and 4 unanswerable questions. Answers were segmented into atomic checkable claims; each claim–citation relation was assessed as supported, partial, or unsupported. AI-reviewed silver reference answer points were assessed separately. Recommendation and topic reviews used the same two-pass AI-silver principle. Human validation remains a limitation throughout.</w:t>
      </w:r>
    </w:p>
    <w:bookmarkEnd w:id="61"/>
    <w:bookmarkStart w:id="62" w:name="retrieval-metrics"/>
    <w:p>
      <w:pPr>
        <w:pStyle w:val="Heading2"/>
      </w:pPr>
      <w:r>
        <w:rPr>
          <w:rStyle w:val="SectionNumber"/>
        </w:rPr>
        <w:t xml:space="preserve">5.7</w:t>
      </w:r>
      <w:r>
        <w:tab/>
      </w:r>
      <w:r>
        <w:t xml:space="preserve">Retrieval metrics</w:t>
      </w:r>
    </w:p>
    <w:p>
      <w:pPr>
        <w:pStyle w:val="FirstParagraph"/>
      </w:pPr>
      <w:r>
        <w:t xml:space="preserve">For a query</w:t>
      </w:r>
      <w:r>
        <w:t xml:space="preserve"> </w:t>
      </w:r>
      <m:oMath>
        <m:r>
          <m:t>q</m:t>
        </m:r>
      </m:oMath>
      <w:r>
        <w:t xml:space="preserve"> </w:t>
      </w:r>
      <w:r>
        <w:t xml:space="preserve">with relevant-paper set</w:t>
      </w:r>
      <w:r>
        <w:t xml:space="preserve"> </w:t>
      </w:r>
      <m:oMath>
        <m:sSub>
          <m:e>
            <m:r>
              <m:t>R</m:t>
            </m:r>
          </m:e>
          <m:sub>
            <m:r>
              <m:t>q</m:t>
            </m:r>
          </m:sub>
        </m:sSub>
      </m:oMath>
      <w:r>
        <w:t xml:space="preserve"> </w:t>
      </w:r>
      <w:r>
        <w:t xml:space="preserve">and returned top-</w:t>
      </w:r>
      <m:oMath>
        <m:r>
          <m:t>k</m:t>
        </m:r>
      </m:oMath>
      <w:r>
        <w:t xml:space="preserve"> </w:t>
      </w:r>
      <w:r>
        <w:t xml:space="preserve">paper set</w:t>
      </w:r>
      <w:r>
        <w:t xml:space="preserve"> </w:t>
      </w:r>
      <m:oMath>
        <m:sSub>
          <m:e>
            <m:r>
              <m:t>S</m:t>
            </m:r>
          </m:e>
          <m:sub>
            <m:r>
              <m:t>q</m:t>
            </m:r>
            <m:r>
              <m:rPr>
                <m:sty m:val="p"/>
              </m:rPr>
              <m:t>,</m:t>
            </m:r>
            <m:r>
              <m:t>k</m:t>
            </m:r>
          </m:sub>
        </m:sSub>
      </m:oMath>
      <w:r>
        <w:t xml:space="preserve">, set recall and precision are</w:t>
      </w:r>
    </w:p>
    <w:p>
      <w:pPr>
        <w:pStyle w:val="BodyText"/>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r>
            <m:t>k</m:t>
          </m:r>
          <m:d>
            <m:dPr>
              <m:begChr m:val="("/>
              <m:endChr m:val=")"/>
              <m:sepChr m:val=""/>
              <m:grow/>
            </m:dPr>
            <m:e>
              <m:r>
                <m:t>q</m:t>
              </m:r>
            </m:e>
          </m:d>
          <m:r>
            <m:rPr>
              <m:sty m:val="p"/>
            </m:rPr>
            <m:t>=</m:t>
          </m:r>
          <m:f>
            <m:fPr>
              <m:type m:val="bar"/>
            </m:fPr>
            <m:num>
              <m:d>
                <m:dPr>
                  <m:begChr m:val="|"/>
                  <m:endChr m:val="|"/>
                  <m:sepChr m:val=""/>
                  <m:grow/>
                </m:dPr>
                <m:e>
                  <m:sSub>
                    <m:e>
                      <m:r>
                        <m:t>R</m:t>
                      </m:r>
                    </m:e>
                    <m:sub>
                      <m:r>
                        <m:t>q</m:t>
                      </m:r>
                    </m:sub>
                  </m:sSub>
                  <m:r>
                    <m:rPr>
                      <m:sty m:val="p"/>
                    </m:rPr>
                    <m:t>∩</m:t>
                  </m:r>
                  <m:sSub>
                    <m:e>
                      <m:r>
                        <m:t>S</m:t>
                      </m:r>
                    </m:e>
                    <m:sub>
                      <m:r>
                        <m:t>q</m:t>
                      </m:r>
                      <m:r>
                        <m:rPr>
                          <m:sty m:val="p"/>
                        </m:rPr>
                        <m:t>,</m:t>
                      </m:r>
                      <m:r>
                        <m:t>k</m:t>
                      </m:r>
                    </m:sub>
                  </m:sSub>
                </m:e>
              </m:d>
            </m:num>
            <m:den>
              <m:d>
                <m:dPr>
                  <m:begChr m:val="|"/>
                  <m:endChr m:val="|"/>
                  <m:sepChr m:val=""/>
                  <m:grow/>
                </m:dPr>
                <m:e>
                  <m:sSub>
                    <m:e>
                      <m:r>
                        <m:t>R</m:t>
                      </m:r>
                    </m:e>
                    <m:sub>
                      <m:r>
                        <m:t>q</m:t>
                      </m:r>
                    </m:sub>
                  </m:sSub>
                </m:e>
              </m:d>
            </m:den>
          </m:f>
        </m:oMath>
      </m:oMathPara>
    </w:p>
    <w:p>
      <w:pPr>
        <w:pStyle w:val="FirstParagraph"/>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t>k</m:t>
          </m:r>
          <m:d>
            <m:dPr>
              <m:begChr m:val="("/>
              <m:endChr m:val=")"/>
              <m:sepChr m:val=""/>
              <m:grow/>
            </m:dPr>
            <m:e>
              <m:r>
                <m:t>q</m:t>
              </m:r>
            </m:e>
          </m:d>
          <m:r>
            <m:rPr>
              <m:sty m:val="p"/>
            </m:rPr>
            <m:t>=</m:t>
          </m:r>
          <m:f>
            <m:fPr>
              <m:type m:val="bar"/>
            </m:fPr>
            <m:num>
              <m:d>
                <m:dPr>
                  <m:begChr m:val="|"/>
                  <m:endChr m:val="|"/>
                  <m:sepChr m:val=""/>
                  <m:grow/>
                </m:dPr>
                <m:e>
                  <m:sSub>
                    <m:e>
                      <m:r>
                        <m:t>R</m:t>
                      </m:r>
                    </m:e>
                    <m:sub>
                      <m:r>
                        <m:t>q</m:t>
                      </m:r>
                    </m:sub>
                  </m:sSub>
                  <m:r>
                    <m:rPr>
                      <m:sty m:val="p"/>
                    </m:rPr>
                    <m:t>∩</m:t>
                  </m:r>
                  <m:sSub>
                    <m:e>
                      <m:r>
                        <m:t>S</m:t>
                      </m:r>
                    </m:e>
                    <m:sub>
                      <m:r>
                        <m:t>q</m:t>
                      </m:r>
                      <m:r>
                        <m:rPr>
                          <m:sty m:val="p"/>
                        </m:rPr>
                        <m:t>,</m:t>
                      </m:r>
                      <m:r>
                        <m:t>k</m:t>
                      </m:r>
                    </m:sub>
                  </m:sSub>
                </m:e>
              </m:d>
            </m:num>
            <m:den>
              <m:r>
                <m:t>k</m:t>
              </m:r>
            </m:den>
          </m:f>
        </m:oMath>
      </m:oMathPara>
    </w:p>
    <w:p>
      <w:pPr>
        <w:pStyle w:val="FirstParagraph"/>
      </w:pPr>
      <w:r>
        <w:t xml:space="preserve">Hit@</w:t>
      </w:r>
      <m:oMath>
        <m:r>
          <m:t>k</m:t>
        </m:r>
      </m:oMath>
      <w:r>
        <w:t xml:space="preserve"> </w:t>
      </w:r>
      <w:r>
        <w:t xml:space="preserve">is one when</w:t>
      </w:r>
      <w:r>
        <w:t xml:space="preserve"> </w:t>
      </w:r>
      <m:oMath>
        <m:sSub>
          <m:e>
            <m:r>
              <m:t>R</m:t>
            </m:r>
          </m:e>
          <m:sub>
            <m:r>
              <m:t>q</m:t>
            </m:r>
          </m:sub>
        </m:sSub>
        <m:r>
          <m:rPr>
            <m:sty m:val="p"/>
          </m:rPr>
          <m:t>∩</m:t>
        </m:r>
        <m:sSub>
          <m:e>
            <m:r>
              <m:t>S</m:t>
            </m:r>
          </m:e>
          <m:sub>
            <m:r>
              <m:t>q</m:t>
            </m:r>
            <m:r>
              <m:rPr>
                <m:sty m:val="p"/>
              </m:rPr>
              <m:t>,</m:t>
            </m:r>
            <m:r>
              <m:t>k</m:t>
            </m:r>
          </m:sub>
        </m:sSub>
        <m:r>
          <m:rPr>
            <m:sty m:val="p"/>
          </m:rPr>
          <m:t>≠</m:t>
        </m:r>
        <m:r>
          <m:rPr>
            <m:sty m:val="p"/>
          </m:rPr>
          <m:t>∅</m:t>
        </m:r>
      </m:oMath>
      <w:r>
        <w:t xml:space="preserve"> </w:t>
      </w:r>
      <w:r>
        <w:t xml:space="preserve">and zero otherwise. Reciprocal rank is</w:t>
      </w:r>
      <w:r>
        <w:t xml:space="preserve"> </w:t>
      </w:r>
      <m:oMath>
        <m:r>
          <m:t>1</m:t>
        </m:r>
        <m:r>
          <m:rPr>
            <m:sty m:val="p"/>
          </m:rPr>
          <m:t>/</m:t>
        </m:r>
        <m:sSub>
          <m:e>
            <m:r>
              <m:t>r</m:t>
            </m:r>
          </m:e>
          <m:sub>
            <m:r>
              <m:t>q</m:t>
            </m:r>
          </m:sub>
        </m:sSub>
      </m:oMath>
      <w:r>
        <w:t xml:space="preserve"> </w:t>
      </w:r>
      <w:r>
        <w:t xml:space="preserve">for the rank</w:t>
      </w:r>
      <w:r>
        <w:t xml:space="preserve"> </w:t>
      </w:r>
      <m:oMath>
        <m:sSub>
          <m:e>
            <m:r>
              <m:t>r</m:t>
            </m:r>
          </m:e>
          <m:sub>
            <m:r>
              <m:t>q</m:t>
            </m:r>
          </m:sub>
        </m:sSub>
      </m:oMath>
      <w:r>
        <w:t xml:space="preserve"> </w:t>
      </w:r>
      <w:r>
        <w:t xml:space="preserve">of the first relevant paper, and zero when none is retrieved. nDCG@10 uses graded source labels and logarithmic rank discount. Unanswerable false-positive rate is the proportion of out-of-corpus cases for which a mode returns a positive result instead of abstaining. This corrects the earlier ambiguity in which a binary hit measure had been called recall.</w:t>
      </w:r>
    </w:p>
    <w:bookmarkEnd w:id="62"/>
    <w:bookmarkStart w:id="63" w:name="X65289fae9efc27bb5da709b71af36bef1678c44"/>
    <w:p>
      <w:pPr>
        <w:pStyle w:val="Heading2"/>
      </w:pPr>
      <w:r>
        <w:rPr>
          <w:rStyle w:val="SectionNumber"/>
        </w:rPr>
        <w:t xml:space="preserve">5.8</w:t>
      </w:r>
      <w:r>
        <w:tab/>
      </w:r>
      <w:r>
        <w:t xml:space="preserve">Tuning, uncertainty, and statistical analysis</w:t>
      </w:r>
    </w:p>
    <w:p>
      <w:pPr>
        <w:pStyle w:val="FirstParagraph"/>
      </w:pPr>
      <w:r>
        <w:t xml:space="preserve">30 of 50 retrieval cases formed the development partition and 20 formed the held-out test partition. Keyword, feature-hashing, learned dense, and heuristic hybrid modes used identical corpus, filters, candidate-pool depth, unique-paper cut-offs, and cases. Hybrid weights were selected on development MRR from a recorded search space; test labels were not used for selection. Individual and cumulative ablations disabled query expansion, metadata, section, evidence, topic, and diversity terms. Weight sensitivity varied keyword/dense proportions around the selected values.</w:t>
      </w:r>
    </w:p>
    <w:p>
      <w:pPr>
        <w:pStyle w:val="BodyText"/>
      </w:pPr>
      <w:r>
        <w:t xml:space="preserve">Percentile bootstrap 95% CIs used 10,000 query-level resamples with fixed seeds. Paired randomisation tests compared the tuned hybrid with baselines on answerable test cases. Holm correction controlled multiplicity within metric and experiment families. These intervals reflect query-sample uncertainty, not uncertainty in AI-silver labels or corpus selection.</w:t>
      </w:r>
    </w:p>
    <w:p>
      <w:pPr>
        <w:pStyle w:val="BodyText"/>
      </w:pPr>
      <w:r>
        <w:t xml:space="preserve">Null results are retained as results. A confidence interval spanning zero does not prove equivalence, and an adjusted</w:t>
      </w:r>
      <w:r>
        <w:t xml:space="preserve"> </w:t>
      </w:r>
      <m:oMath>
        <m:r>
          <m:t>p</m:t>
        </m:r>
      </m:oMath>
      <w:r>
        <w:t xml:space="preserve">-value above the threshold does not prove no difference. Likewise, an ablation inspected after candidate selection is descriptive and cannot be used to retune on the held-out set. The reporting rule is therefore: identify the selection boundary, report point estimate and uncertainty, state whether the planned comparison rejected its null, and avoid converting failure to reject into equality or non-inferiority.</w:t>
      </w:r>
    </w:p>
    <w:p>
      <w:pPr>
        <w:pStyle w:val="BodyText"/>
      </w:pPr>
      <w:r>
        <w:t xml:space="preserve">AI-label uncertainty is handled by disclosure and case retention rather than a fabricated numeric adjustment. The same declared AI process performed source-first creation and shuffled verification, so exact agreement measures repeatability under that procedure, not independent reliability. Disagreements, rationales, and source locators remain available for later human adjudication. Bootstrap intervals resample cases/profiles but hold labels fixed; every interpretation therefore states that correlated label error and corpus selection are outside the interval.</w:t>
      </w:r>
    </w:p>
    <w:bookmarkEnd w:id="63"/>
    <w:bookmarkStart w:id="64" w:name="qa-recommendation-and-topic-metrics"/>
    <w:p>
      <w:pPr>
        <w:pStyle w:val="Heading2"/>
      </w:pPr>
      <w:r>
        <w:rPr>
          <w:rStyle w:val="SectionNumber"/>
        </w:rPr>
        <w:t xml:space="preserve">5.9</w:t>
      </w:r>
      <w:r>
        <w:tab/>
      </w:r>
      <w:r>
        <w:t xml:space="preserve">QA, recommendation, and topic metrics</w:t>
      </w:r>
    </w:p>
    <w:p>
      <w:pPr>
        <w:pStyle w:val="FirstParagraph"/>
      </w:pPr>
      <w:r>
        <w:t xml:space="preserve">Strict supported-claim rate counts only fully supported checkable claims. Citation correctness divides correct claim–citation links by all reviewed links; citation completeness measures citation presence, not correctness. Answer-point coverage divides fully covered points by all expected points. Abstention accuracy distinguishes answering answerable cases from declining unanswerable ones.</w:t>
      </w:r>
    </w:p>
    <w:p>
      <w:pPr>
        <w:pStyle w:val="BodyText"/>
      </w:pPr>
      <w:r>
        <w:t xml:space="preserve">The historical recommendation experiment compared three evidence-only paper/passages with three full-finder recommendations for each of 28 profiles. AI-proxy criteria included relevance, source fidelity, fact/future-work/gap/suggestion separation, novelty caution, feasibility, MVP and stretch scope, risk, skills, evaluation plan, and proxy usefulness. Its paired contrast resampled profiles. Historical topic evaluation reported multi-label micro precision, recall, F1, exact match, and coverage for controlled lexical and learned-dense prototypes. The later positive-only topic protocol deliberately narrows its construct to known-positive recall and case coverage; predictions beyond the listed positives are not counted as false positives.</w:t>
      </w:r>
    </w:p>
    <w:bookmarkEnd w:id="64"/>
    <w:bookmarkStart w:id="65" w:name="X42b99c663b3dc4fc30d521b8e22351ceb93fae7"/>
    <w:p>
      <w:pPr>
        <w:pStyle w:val="Heading2"/>
      </w:pPr>
      <w:r>
        <w:rPr>
          <w:rStyle w:val="SectionNumber"/>
        </w:rPr>
        <w:t xml:space="preserve">5.10</w:t>
      </w:r>
      <w:r>
        <w:tab/>
      </w:r>
      <w:r>
        <w:t xml:space="preserve">Performance and external sanity methodology</w:t>
      </w:r>
    </w:p>
    <w:p>
      <w:pPr>
        <w:pStyle w:val="FirstParagraph"/>
      </w:pPr>
      <w:r>
        <w:t xml:space="preserve">The Phase 6 harness runs process-cold and warm repetitions at concurrency one for discovery, import, extraction, chunking, keyword/hashing/dense indexing, four retrieval modes, offline answering, recommendation, read-only APIs, frontend production build, and primary route loads. It reports median, linearly interpolated p95, failures, processed units, and maximum resident set size where available.</w:t>
      </w:r>
      <w:r>
        <w:t xml:space="preserve"> </w:t>
      </w:r>
      <w:r>
        <w:t xml:space="preserve">“</w:t>
      </w:r>
      <w:r>
        <w:t xml:space="preserve">Cold</w:t>
      </w:r>
      <w:r>
        <w:t xml:space="preserve">”</w:t>
      </w:r>
      <w:r>
        <w:t xml:space="preserve"> </w:t>
      </w:r>
      <w:r>
        <w:t xml:space="preserve">means a fresh process, not a flushed operating-system cache. The external sanity check reacquires three pinned CC BY articles from the official Europe PMC API, validates embedded license evidence, chunks them, and tests three fixed lexical-discrimination queries. This establishes only format compatibility and trivial discrimination, not external TTLAB effectiveness.</w:t>
      </w:r>
    </w:p>
    <w:bookmarkEnd w:id="65"/>
    <w:bookmarkStart w:id="66" w:name="ethics-and-authorization-protocol"/>
    <w:p>
      <w:pPr>
        <w:pStyle w:val="Heading2"/>
      </w:pPr>
      <w:r>
        <w:rPr>
          <w:rStyle w:val="SectionNumber"/>
        </w:rPr>
        <w:t xml:space="preserve">5.11</w:t>
      </w:r>
      <w:r>
        <w:tab/>
      </w:r>
      <w:r>
        <w:t xml:space="preserve">Ethics and authorization protocol</w:t>
      </w:r>
    </w:p>
    <w:p>
      <w:pPr>
        <w:pStyle w:val="FirstParagraph"/>
      </w:pPr>
      <w:r>
        <w:t xml:space="preserve">TTLAB authorized the project and use of the laboratory corpus. The study does not convert that authorization into a claim of ethics-board approval, blanket copyright ownership, or redistribution rights. No participants were recruited. Student-profile fields are transient by default. Restricted PDFs, full extracted text, interface screenshots, private prompts, databases, indexes, and secrets are excluded from the sanitized bundle. AI assistance and reviewer identity are disclosed in the front matter and evidence manifests.</w:t>
      </w:r>
    </w:p>
    <w:bookmarkEnd w:id="66"/>
    <w:bookmarkEnd w:id="67"/>
    <w:bookmarkStart w:id="79" w:name="ch:architecture"/>
    <w:p>
      <w:pPr>
        <w:pStyle w:val="Heading1"/>
      </w:pPr>
      <w:r>
        <w:rPr>
          <w:rStyle w:val="SectionNumber"/>
        </w:rPr>
        <w:t xml:space="preserve">6</w:t>
      </w:r>
      <w:r>
        <w:tab/>
      </w:r>
      <w:r>
        <w:t xml:space="preserve">System Architecture and Design</w:t>
      </w:r>
    </w:p>
    <w:bookmarkStart w:id="71" w:name="layered-architecture"/>
    <w:p>
      <w:pPr>
        <w:pStyle w:val="Heading2"/>
      </w:pPr>
      <w:r>
        <w:rPr>
          <w:rStyle w:val="SectionNumber"/>
        </w:rPr>
        <w:t xml:space="preserve">6.1</w:t>
      </w:r>
      <w:r>
        <w:tab/>
      </w:r>
      <w:r>
        <w:t xml:space="preserve">Layered architecture</w:t>
      </w:r>
    </w:p>
    <w:p>
      <w:pPr>
        <w:pStyle w:val="FirstParagraph"/>
      </w:pPr>
      <w:r>
        <w:t xml:space="preserve">The four layers (</w:t>
      </w:r>
      <w:hyperlink w:anchor="fig:thesis-architecture">
        <w:r>
          <w:rPr>
            <w:rStyle w:val="Hyperlink"/>
          </w:rPr>
          <w:t xml:space="preserve">Figure 6.1</w:t>
        </w:r>
      </w:hyperlink>
      <w:r>
        <w:t xml:space="preserve">) are a React route UI; FastAPI public-projection/protected APIs and security; ingestion, retrieval, selective QA, structured recommendation, conversational idea generation, discovery, review and evaluation logic; and SQLite plus immutable local generations. Production routes use the approved public projection. Only protected evaluation or an explicitly labelled loopback demo may select technically eligible records.</w:t>
      </w:r>
    </w:p>
    <w:p>
      <w:pPr>
        <w:pStyle w:val="CaptionedFigure"/>
      </w:pPr>
      <w:r>
        <w:drawing>
          <wp:inline>
            <wp:extent cx="5315712" cy="2222412"/>
            <wp:effectExtent b="0" l="0" r="0" t="0"/>
            <wp:docPr descr="Figure 6.1. Layered system architecture. The dashed path represents provenance and review data returned from storage to public evidence displays. Text labels provide the non-color encoding." title="Figure 6.1." id="69" name="Picture"/>
            <a:graphic>
              <a:graphicData uri="http://schemas.openxmlformats.org/drawingml/2006/picture">
                <pic:pic>
                  <pic:nvPicPr>
                    <pic:cNvPr descr="word-assets/architecture.png" id="70" name="Picture"/>
                    <pic:cNvPicPr>
                      <a:picLocks noChangeArrowheads="1" noChangeAspect="1"/>
                    </pic:cNvPicPr>
                  </pic:nvPicPr>
                  <pic:blipFill>
                    <a:blip r:embed="rId68"/>
                    <a:stretch>
                      <a:fillRect/>
                    </a:stretch>
                  </pic:blipFill>
                  <pic:spPr bwMode="auto">
                    <a:xfrm>
                      <a:off x="0" y="0"/>
                      <a:ext cx="5315712" cy="2222412"/>
                    </a:xfrm>
                    <a:prstGeom prst="rect">
                      <a:avLst/>
                    </a:prstGeom>
                    <a:noFill/>
                    <a:ln w="9525">
                      <a:noFill/>
                      <a:headEnd/>
                      <a:tailEnd/>
                    </a:ln>
                  </pic:spPr>
                </pic:pic>
              </a:graphicData>
            </a:graphic>
          </wp:inline>
        </w:drawing>
      </w:r>
    </w:p>
    <w:p>
      <w:pPr>
        <w:pStyle w:val="ImageCaption"/>
      </w:pPr>
      <w:r>
        <w:t xml:space="preserve">Figure 6.1. Layered system architecture. The dashed path represents provenance and review data returned from storage to public evidence displays. Text labels provide the non-color encoding.</w:t>
      </w:r>
    </w:p>
    <w:bookmarkEnd w:id="71"/>
    <w:bookmarkStart w:id="72" w:name="design-principles"/>
    <w:p>
      <w:pPr>
        <w:pStyle w:val="Heading2"/>
      </w:pPr>
      <w:r>
        <w:rPr>
          <w:rStyle w:val="SectionNumber"/>
        </w:rPr>
        <w:t xml:space="preserve">6.2</w:t>
      </w:r>
      <w:r>
        <w:tab/>
      </w:r>
      <w:r>
        <w:t xml:space="preserve">Design principles</w:t>
      </w:r>
    </w:p>
    <w:p>
      <w:pPr>
        <w:pStyle w:val="FirstParagraph"/>
      </w:pPr>
      <w:r>
        <w:t xml:space="preserve">Seven principles govern the design. First, derived index state is authoritative only when its manifest and active generation pointer match the current corpus. Second, technical eligibility never implies publication or redistribution approval. Third, source facts, paper-informed ideas, and general suggestions use distinct fields and labels. Fourth, AI review has a distinct</w:t>
      </w:r>
      <w:r>
        <w:t xml:space="preserve"> </w:t>
      </w:r>
      <w:r>
        <w:rPr>
          <w:rStyle w:val="VerbatimChar"/>
        </w:rPr>
        <w:t xml:space="preserve">ai_reviewed</w:t>
      </w:r>
      <w:r>
        <w:t xml:space="preserve"> </w:t>
      </w:r>
      <w:r>
        <w:t xml:space="preserve">state and cannot create human approval. Fifth, public requests are privacy-minimised and administrative mutations are authenticated. Sixth, model and retrieval identity are recorded at generation time. Seventh, missing dependencies or evidence produce explicit unavailable, stale, partial,</w:t>
      </w:r>
      <w:r>
        <w:t xml:space="preserve"> </w:t>
      </w:r>
      <w:r>
        <w:rPr>
          <w:rStyle w:val="VerbatimChar"/>
        </w:rPr>
        <w:t xml:space="preserve">support_unverified</w:t>
      </w:r>
      <w:r>
        <w:t xml:space="preserve">, or needs-reprocess states instead of silent success.</w:t>
      </w:r>
    </w:p>
    <w:bookmarkEnd w:id="72"/>
    <w:bookmarkStart w:id="76" w:name="persistence-and-traceability-model"/>
    <w:p>
      <w:pPr>
        <w:pStyle w:val="Heading2"/>
      </w:pPr>
      <w:r>
        <w:rPr>
          <w:rStyle w:val="SectionNumber"/>
        </w:rPr>
        <w:t xml:space="preserve">6.3</w:t>
      </w:r>
      <w:r>
        <w:tab/>
      </w:r>
      <w:r>
        <w:t xml:space="preserve">Persistence and traceability model</w:t>
      </w:r>
    </w:p>
    <w:p>
      <w:pPr>
        <w:pStyle w:val="FirstParagraph"/>
      </w:pPr>
      <w:hyperlink w:anchor="fig:entity-model">
        <w:r>
          <w:rPr>
            <w:rStyle w:val="Hyperlink"/>
          </w:rPr>
          <w:t xml:space="preserve">Figure 6.2</w:t>
        </w:r>
      </w:hyperlink>
      <w:r>
        <w:t xml:space="preserve"> </w:t>
      </w:r>
      <w:r>
        <w:t xml:space="preserve">summarises the entities. Papers/chunks store extraction, chunk and approved-public generations; outputs retain structured source identifiers. Controlled topics link papers and canonical identities. Each transition appends an actor-typed, request-attributed, hash-linked</w:t>
      </w:r>
      <w:r>
        <w:t xml:space="preserve"> </w:t>
      </w:r>
      <w:r>
        <w:rPr>
          <w:rStyle w:val="VerbatimChar"/>
        </w:rPr>
        <w:t xml:space="preserve">ReviewEvent</w:t>
      </w:r>
      <w:r>
        <w:t xml:space="preserve">, preserving history without treating AI review as human approval.</w:t>
      </w:r>
    </w:p>
    <w:p>
      <w:pPr>
        <w:pStyle w:val="CaptionedFigure"/>
      </w:pPr>
      <w:r>
        <w:drawing>
          <wp:inline>
            <wp:extent cx="4734084" cy="2978680"/>
            <wp:effectExtent b="0" l="0" r="0" t="0"/>
            <wp:docPr descr="Figure 6.2. Principal persistence and provenance entities. Solid arrows denote ownership/foreign-key relations; dashed arrows denote evidence or polymorphic references." title="Figure 6.2." id="74" name="Picture"/>
            <a:graphic>
              <a:graphicData uri="http://schemas.openxmlformats.org/drawingml/2006/picture">
                <pic:pic>
                  <pic:nvPicPr>
                    <pic:cNvPr descr="word-assets/entity_model.png" id="75" name="Picture"/>
                    <pic:cNvPicPr>
                      <a:picLocks noChangeArrowheads="1" noChangeAspect="1"/>
                    </pic:cNvPicPr>
                  </pic:nvPicPr>
                  <pic:blipFill>
                    <a:blip r:embed="rId73"/>
                    <a:stretch>
                      <a:fillRect/>
                    </a:stretch>
                  </pic:blipFill>
                  <pic:spPr bwMode="auto">
                    <a:xfrm>
                      <a:off x="0" y="0"/>
                      <a:ext cx="4734084" cy="2978680"/>
                    </a:xfrm>
                    <a:prstGeom prst="rect">
                      <a:avLst/>
                    </a:prstGeom>
                    <a:noFill/>
                    <a:ln w="9525">
                      <a:noFill/>
                      <a:headEnd/>
                      <a:tailEnd/>
                    </a:ln>
                  </pic:spPr>
                </pic:pic>
              </a:graphicData>
            </a:graphic>
          </wp:inline>
        </w:drawing>
      </w:r>
    </w:p>
    <w:p>
      <w:pPr>
        <w:pStyle w:val="ImageCaption"/>
      </w:pPr>
      <w:r>
        <w:t xml:space="preserve">Figure 6.2. Principal persistence and provenance entities. Solid arrows denote ownership/foreign-key relations; dashed arrows denote evidence or polymorphic references.</w:t>
      </w:r>
    </w:p>
    <w:bookmarkEnd w:id="76"/>
    <w:bookmarkStart w:id="77" w:name="authoritative-index-design"/>
    <w:p>
      <w:pPr>
        <w:pStyle w:val="Heading2"/>
      </w:pPr>
      <w:r>
        <w:rPr>
          <w:rStyle w:val="SectionNumber"/>
        </w:rPr>
        <w:t xml:space="preserve">6.4</w:t>
      </w:r>
      <w:r>
        <w:tab/>
      </w:r>
      <w:r>
        <w:t xml:space="preserve">Authoritative index design</w:t>
      </w:r>
    </w:p>
    <w:p>
      <w:pPr>
        <w:pStyle w:val="FirstParagraph"/>
      </w:pPr>
      <w:r>
        <w:t xml:space="preserve">Each vector manifest binds the corpus and ordered chunks/hashes to provider/model/revision, dimension/normalisation, configuration/code/index hashes, role, and completeness. A rebuild validates an immutable generation, commits matching database status, then atomically moves the current pointer; failure leaves the prior pointer active. Demo indexes cannot target the canonical location, and validators reject missing, partial, stale, or mismatched state.</w:t>
      </w:r>
    </w:p>
    <w:p>
      <w:pPr>
        <w:pStyle w:val="BodyText"/>
      </w:pPr>
      <w:r>
        <w:t xml:space="preserve">Feature hashing is a 256-dimensional signed lexical projection, not learned semantics. Dense retrieval pins</w:t>
      </w:r>
      <w:r>
        <w:t xml:space="preserve"> </w:t>
      </w:r>
      <w:r>
        <w:rPr>
          <w:rStyle w:val="VerbatimChar"/>
        </w:rPr>
        <w:t xml:space="preserve">all-MiniLM-L6-v2</w:t>
      </w:r>
      <w:r>
        <w:t xml:space="preserve"> </w:t>
      </w:r>
      <w:r>
        <w:t xml:space="preserve">revision</w:t>
      </w:r>
      <w:r>
        <w:t xml:space="preserve"> </w:t>
      </w:r>
      <w:r>
        <w:rPr>
          <w:rStyle w:val="VerbatimChar"/>
        </w:rPr>
        <w:t xml:space="preserve">826711e...a1def9</w:t>
      </w:r>
      <w:r>
        <w:t xml:space="preserve">, its artifact hash, 384 dimensions, normalization, CPU/window pooling, and license. Production Ollama use requires an approved model/digest. An explicit local-demo policy may permit installed models while still checking the observed digest before and after generation; absent response attestation is recorded as a mutable-tag limitation.</w:t>
      </w:r>
    </w:p>
    <w:bookmarkEnd w:id="77"/>
    <w:bookmarkStart w:id="78" w:name="security-and-privacy-boundaries"/>
    <w:p>
      <w:pPr>
        <w:pStyle w:val="Heading2"/>
      </w:pPr>
      <w:r>
        <w:rPr>
          <w:rStyle w:val="SectionNumber"/>
        </w:rPr>
        <w:t xml:space="preserve">6.5</w:t>
      </w:r>
      <w:r>
        <w:tab/>
      </w:r>
      <w:r>
        <w:t xml:space="preserve">Security and privacy boundaries</w:t>
      </w:r>
    </w:p>
    <w:p>
      <w:pPr>
        <w:pStyle w:val="FirstParagraph"/>
      </w:pPr>
      <w:r>
        <w:t xml:space="preserve">Public reads/generation are separate from technical evaluation and protected mutations. Production metadata requires human approval, published state and cleared rights; searchable text also requires approved extraction/current public generation. No audited record met the full predicate, so production evidence routes fail closed. Local administrators authenticate with Argon2id passwords and HttpOnly, SameSite sessions; a readable CSRF cookie must match the mutation header. Idle/absolute expiry, lockout, forced temporary-password replacement, role restrictions, production HTTPS/host/CORS checks, size/rate limits, redaction, SSRF/redirect controls, and PDF limits address principal threats. Environment-digested bearer service actors remain available for bounded automation.</w:t>
      </w:r>
    </w:p>
    <w:p>
      <w:pPr>
        <w:pStyle w:val="BodyText"/>
      </w:pPr>
      <w:r>
        <w:t xml:space="preserve">Student interests, skills, time, constraints, topic preferences, and Idea Generator conversation turns remain client-side/in-request and are not persisted by default. Public generated-output serializers omit private reviewer notes and draft corrections. This minimisation reduces privacy risk but does not replace an institutional privacy review for a deployed service.</w:t>
      </w:r>
    </w:p>
    <w:bookmarkEnd w:id="78"/>
    <w:bookmarkEnd w:id="79"/>
    <w:bookmarkStart w:id="94" w:name="ch:data"/>
    <w:p>
      <w:pPr>
        <w:pStyle w:val="Heading1"/>
      </w:pPr>
      <w:r>
        <w:rPr>
          <w:rStyle w:val="SectionNumber"/>
        </w:rPr>
        <w:t xml:space="preserve">7</w:t>
      </w:r>
      <w:r>
        <w:tab/>
      </w:r>
      <w:r>
        <w:t xml:space="preserve">Data Collection and Processing</w:t>
      </w:r>
    </w:p>
    <w:bookmarkStart w:id="86" w:name="catalog-and-acquisition"/>
    <w:p>
      <w:pPr>
        <w:pStyle w:val="Heading2"/>
      </w:pPr>
      <w:r>
        <w:rPr>
          <w:rStyle w:val="SectionNumber"/>
        </w:rPr>
        <w:t xml:space="preserve">7.1</w:t>
      </w:r>
      <w:r>
        <w:tab/>
      </w:r>
      <w:r>
        <w:t xml:space="preserve">Catalog and acquisition</w:t>
      </w:r>
    </w:p>
    <w:p>
      <w:pPr>
        <w:pStyle w:val="FirstParagraph"/>
      </w:pPr>
      <w:r>
        <w:t xml:space="preserve">The catalog contains 134 publication records derived from the TTLAB archive and stored in deterministic seed JSON. The discovery/import path normalises titles and URLs, assigns stable identifiers, preserves absent metadata as missing, and records provenance/review state. PDF acquisition uses allowed hosts and public IP resolution, bounded redirects, timeouts, content-length and byte limits, content-type and PDF-signature validation, and explicit failure categories. It does not bypass authentication, paywalls, or access controls.</w:t>
      </w:r>
    </w:p>
    <w:p>
      <w:pPr>
        <w:pStyle w:val="BodyText"/>
      </w:pPr>
      <w:r>
        <w:t xml:space="preserve">The frozen audit records 98 available PDFs, 34 records with no PDF URL, 1 network error, and 1 not-found result. Of the available documents, 96 matched their catalog identity and entered the experimental corpus; 2 possible PDF/title mismatches were excluded. The remaining 36 catalog records are visible as needs-review/no-text records rather than being silently absent.</w:t>
      </w:r>
      <w:r>
        <w:t xml:space="preserve"> </w:t>
      </w:r>
      <w:hyperlink w:anchor="fig:ingestion">
        <w:r>
          <w:rPr>
            <w:rStyle w:val="Hyperlink"/>
          </w:rPr>
          <w:t xml:space="preserve">Figure 7.1</w:t>
        </w:r>
      </w:hyperlink>
      <w:r>
        <w:t xml:space="preserve"> </w:t>
      </w:r>
      <w:r>
        <w:t xml:space="preserve">shows the full pipeline, and</w:t>
      </w:r>
      <w:r>
        <w:t xml:space="preserve"> </w:t>
      </w:r>
      <w:hyperlink w:anchor="fig:corpus-status">
        <w:r>
          <w:rPr>
            <w:rStyle w:val="Hyperlink"/>
          </w:rPr>
          <w:t xml:space="preserve">Figure 7.2</w:t>
        </w:r>
      </w:hyperlink>
      <w:r>
        <w:t xml:space="preserve"> </w:t>
      </w:r>
      <w:r>
        <w:t xml:space="preserve">shows the resulting paper-level eligibility categories.</w:t>
      </w:r>
    </w:p>
    <w:p>
      <w:pPr>
        <w:pStyle w:val="CaptionedFigure"/>
      </w:pPr>
      <w:r>
        <w:drawing>
          <wp:inline>
            <wp:extent cx="5315712" cy="2755030"/>
            <wp:effectExtent b="0" l="0" r="0" t="0"/>
            <wp:docPr descr="Figure 7.1. Deterministic ingestion and authoritative indexing pipeline. The optional OCR stage records status/provenance but was not used in the frozen corpus." title="Figure 7.1." id="81" name="Picture"/>
            <a:graphic>
              <a:graphicData uri="http://schemas.openxmlformats.org/drawingml/2006/picture">
                <pic:pic>
                  <pic:nvPicPr>
                    <pic:cNvPr descr="word-assets/ingestion_pipeline.png" id="82" name="Picture"/>
                    <pic:cNvPicPr>
                      <a:picLocks noChangeArrowheads="1" noChangeAspect="1"/>
                    </pic:cNvPicPr>
                  </pic:nvPicPr>
                  <pic:blipFill>
                    <a:blip r:embed="rId80"/>
                    <a:stretch>
                      <a:fillRect/>
                    </a:stretch>
                  </pic:blipFill>
                  <pic:spPr bwMode="auto">
                    <a:xfrm>
                      <a:off x="0" y="0"/>
                      <a:ext cx="5315712" cy="2755030"/>
                    </a:xfrm>
                    <a:prstGeom prst="rect">
                      <a:avLst/>
                    </a:prstGeom>
                    <a:noFill/>
                    <a:ln w="9525">
                      <a:noFill/>
                      <a:headEnd/>
                      <a:tailEnd/>
                    </a:ln>
                  </pic:spPr>
                </pic:pic>
              </a:graphicData>
            </a:graphic>
          </wp:inline>
        </w:drawing>
      </w:r>
    </w:p>
    <w:p>
      <w:pPr>
        <w:pStyle w:val="ImageCaption"/>
      </w:pPr>
      <w:r>
        <w:t xml:space="preserve">Figure 7.1. Deterministic ingestion and authoritative indexing pipeline. The optional OCR stage records status/provenance but was not used in the frozen corpus.</w:t>
      </w:r>
    </w:p>
    <w:p>
      <w:pPr>
        <w:pStyle w:val="CaptionedFigure"/>
      </w:pPr>
      <w:r>
        <w:drawing>
          <wp:inline>
            <wp:extent cx="5149998" cy="1978651"/>
            <wp:effectExtent b="0" l="0" r="0" t="0"/>
            <wp:docPr descr="Figure 7.2. Frozen catalog eligibility: 96 eligible full-text papers, 36 records without eligible text, and 2 PDF/title mismatch exclusions. These are inventory counts, not quality scores." title="Figure 7.2." id="84" name="Picture"/>
            <a:graphic>
              <a:graphicData uri="http://schemas.openxmlformats.org/drawingml/2006/picture">
                <pic:pic>
                  <pic:nvPicPr>
                    <pic:cNvPr descr="word-assets/corpus_status_plot.png" id="85" name="Picture"/>
                    <pic:cNvPicPr>
                      <a:picLocks noChangeArrowheads="1" noChangeAspect="1"/>
                    </pic:cNvPicPr>
                  </pic:nvPicPr>
                  <pic:blipFill>
                    <a:blip r:embed="rId83"/>
                    <a:stretch>
                      <a:fillRect/>
                    </a:stretch>
                  </pic:blipFill>
                  <pic:spPr bwMode="auto">
                    <a:xfrm>
                      <a:off x="0" y="0"/>
                      <a:ext cx="5149998" cy="1978651"/>
                    </a:xfrm>
                    <a:prstGeom prst="rect">
                      <a:avLst/>
                    </a:prstGeom>
                    <a:noFill/>
                    <a:ln w="9525">
                      <a:noFill/>
                      <a:headEnd/>
                      <a:tailEnd/>
                    </a:ln>
                  </pic:spPr>
                </pic:pic>
              </a:graphicData>
            </a:graphic>
          </wp:inline>
        </w:drawing>
      </w:r>
    </w:p>
    <w:p>
      <w:pPr>
        <w:pStyle w:val="ImageCaption"/>
      </w:pPr>
      <w:r>
        <w:t xml:space="preserve">Figure 7.2. Frozen catalog eligibility: 96 eligible full-text papers, 36 records without eligible text, and 2 PDF/title mismatch exclusions. These are inventory counts, not quality scores.</w:t>
      </w:r>
    </w:p>
    <w:bookmarkEnd w:id="86"/>
    <w:bookmarkStart w:id="87" w:name="extraction-and-ocr-aware-diagnostics"/>
    <w:p>
      <w:pPr>
        <w:pStyle w:val="Heading2"/>
      </w:pPr>
      <w:r>
        <w:rPr>
          <w:rStyle w:val="SectionNumber"/>
        </w:rPr>
        <w:t xml:space="preserve">7.2</w:t>
      </w:r>
      <w:r>
        <w:tab/>
      </w:r>
      <w:r>
        <w:t xml:space="preserve">Extraction and OCR-aware diagnostics</w:t>
      </w:r>
    </w:p>
    <w:p>
      <w:pPr>
        <w:pStyle w:val="FirstParagraph"/>
      </w:pPr>
      <w:r>
        <w:t xml:space="preserve">PyMuPDF records page-aware native extraction and hashes; image-heavy pages may use an optional bounded OCR worker with explicit failure/provenance. Corpus OCR status is</w:t>
      </w:r>
      <w:r>
        <w:t xml:space="preserve"> </w:t>
      </w:r>
      <w:r>
        <w:rPr>
          <w:rStyle w:val="VerbatimChar"/>
        </w:rPr>
        <w:t xml:space="preserve">not_requested</w:t>
      </w:r>
      <w:r>
        <w:t xml:space="preserve">. A deterministic fixture produced character error 0.0% through the same path, which is regression evidence rather than scanned-corpus accuracy.</w:t>
      </w:r>
    </w:p>
    <w:p>
      <w:pPr>
        <w:pStyle w:val="BodyText"/>
      </w:pPr>
      <w:r>
        <w:t xml:space="preserve">The 98 extracted PDFs contain 698 pages and 455,532 native-extraction words. These totals describe the local source snapshot; they are not included in the sanitized release. The suspected identity mismatches account for 16 excluded chunks. The raw chunk table contains 735 rows, while the eligible experiment and authoritative indexes contain 719 rows.</w:t>
      </w:r>
    </w:p>
    <w:bookmarkEnd w:id="87"/>
    <w:bookmarkStart w:id="88" w:name="page-aware-chunking-and-sections"/>
    <w:p>
      <w:pPr>
        <w:pStyle w:val="Heading2"/>
      </w:pPr>
      <w:r>
        <w:rPr>
          <w:rStyle w:val="SectionNumber"/>
        </w:rPr>
        <w:t xml:space="preserve">7.3</w:t>
      </w:r>
      <w:r>
        <w:tab/>
      </w:r>
      <w:r>
        <w:t xml:space="preserve">Page-aware chunking and sections</w:t>
      </w:r>
    </w:p>
    <w:p>
      <w:pPr>
        <w:pStyle w:val="FirstParagraph"/>
      </w:pPr>
      <w:r>
        <w:t xml:space="preserve">Chunks retain pages and target 850 words, 5,000 characters, and 125-word overlap. Extraction manifests bind PDF/configuration/exact text bytes; chunk manifests bind that generation to serialized and database chunks. Reconciliation quarantines any disagreement and clears public approval instead of inventing provenance. Inferred sections preserve</w:t>
      </w:r>
      <w:r>
        <w:t xml:space="preserve"> </w:t>
      </w:r>
      <w:r>
        <w:rPr>
          <w:rStyle w:val="VerbatimChar"/>
        </w:rPr>
        <w:t xml:space="preserve">Unknown</w:t>
      </w:r>
      <w:r>
        <w:t xml:space="preserve">; 199 eligible chunks (27.7%) have that state.</w:t>
      </w:r>
    </w:p>
    <w:p>
      <w:pPr>
        <w:pStyle w:val="BodyText"/>
      </w:pPr>
      <w:r>
        <w:t xml:space="preserve">A 40-case stratified AI-reviewed silver sample compared current section labels with source passages. Exact accuracy was 0.900, labeled coverage 0.900, macro precision 0.892, and macro recall 0.904. Seven creation decisions required revision. These results support using section labels as a reranking feature with caution, not as authoritative document structure.</w:t>
      </w:r>
    </w:p>
    <w:bookmarkEnd w:id="88"/>
    <w:bookmarkStart w:id="89" w:name="metadata-and-author-identity"/>
    <w:p>
      <w:pPr>
        <w:pStyle w:val="Heading2"/>
      </w:pPr>
      <w:r>
        <w:rPr>
          <w:rStyle w:val="SectionNumber"/>
        </w:rPr>
        <w:t xml:space="preserve">7.4</w:t>
      </w:r>
      <w:r>
        <w:tab/>
      </w:r>
      <w:r>
        <w:t xml:space="preserve">Metadata and author identity</w:t>
      </w:r>
    </w:p>
    <w:p>
      <w:pPr>
        <w:pStyle w:val="FirstParagraph"/>
      </w:pPr>
      <w:r>
        <w:t xml:space="preserve">The malformed</w:t>
      </w:r>
      <w:r>
        <w:t xml:space="preserve"> </w:t>
      </w:r>
      <w:r>
        <w:rPr>
          <w:rStyle w:val="VerbatimChar"/>
        </w:rPr>
        <w:t xml:space="preserve">Click to View</w:t>
      </w:r>
      <w:r>
        <w:t xml:space="preserve"> </w:t>
      </w:r>
      <w:r>
        <w:t xml:space="preserve">author parser artifact was removed by an idempotent migration. The schema now stores canonical author rows, aliases, identity/merge state, and review status. The audit found 136 author rows: 133 unresolved active canonical identities, two merged rows, and one invalid row. Exact alias collisions, eligible authorship mismatches, excluded-paper leakage, and prohibited expertise overclaims were all zero in the executed audit. 13 possible initial/full-name or spelling pairs remain deliberately unmerged pending authoritative confirmation.</w:t>
      </w:r>
    </w:p>
    <w:p>
      <w:pPr>
        <w:pStyle w:val="BodyText"/>
      </w:pPr>
      <w:r>
        <w:t xml:space="preserve">DOI, abstract, keyword, venue, and date fields carry provenance and review fields. Unverified metadata remain empty. Author-topic links are derived only from eligible indexed publication authorship and paper topics; their UI wording explicitly disclaims availability, endorsement, supervision, or expertise beyond this corpus.</w:t>
      </w:r>
    </w:p>
    <w:bookmarkEnd w:id="89"/>
    <w:bookmarkStart w:id="93" w:name="corpus-distribution-and-release-boundary"/>
    <w:p>
      <w:pPr>
        <w:pStyle w:val="Heading2"/>
      </w:pPr>
      <w:r>
        <w:rPr>
          <w:rStyle w:val="SectionNumber"/>
        </w:rPr>
        <w:t xml:space="preserve">7.5</w:t>
      </w:r>
      <w:r>
        <w:tab/>
      </w:r>
      <w:r>
        <w:t xml:space="preserve">Corpus distribution and release boundary</w:t>
      </w:r>
    </w:p>
    <w:p>
      <w:pPr>
        <w:pStyle w:val="CaptionedFigure"/>
      </w:pPr>
      <w:r>
        <w:drawing>
          <wp:inline>
            <wp:extent cx="5315712" cy="2476225"/>
            <wp:effectExtent b="0" l="0" r="0" t="0"/>
            <wp:docPr descr="Figure 7.3. Publication-year distribution in the catalog metadata. Missing or uncertain years remain represented in the generated source data rather than being imputed." title="Figure 7.3." id="91" name="Picture"/>
            <a:graphic>
              <a:graphicData uri="http://schemas.openxmlformats.org/drawingml/2006/picture">
                <pic:pic>
                  <pic:nvPicPr>
                    <pic:cNvPr descr="word-assets/year_distribution_plot.png" id="92" name="Picture"/>
                    <pic:cNvPicPr>
                      <a:picLocks noChangeArrowheads="1" noChangeAspect="1"/>
                    </pic:cNvPicPr>
                  </pic:nvPicPr>
                  <pic:blipFill>
                    <a:blip r:embed="rId90"/>
                    <a:stretch>
                      <a:fillRect/>
                    </a:stretch>
                  </pic:blipFill>
                  <pic:spPr bwMode="auto">
                    <a:xfrm>
                      <a:off x="0" y="0"/>
                      <a:ext cx="5315712" cy="2476225"/>
                    </a:xfrm>
                    <a:prstGeom prst="rect">
                      <a:avLst/>
                    </a:prstGeom>
                    <a:noFill/>
                    <a:ln w="9525">
                      <a:noFill/>
                      <a:headEnd/>
                      <a:tailEnd/>
                    </a:ln>
                  </pic:spPr>
                </pic:pic>
              </a:graphicData>
            </a:graphic>
          </wp:inline>
        </w:drawing>
      </w:r>
    </w:p>
    <w:p>
      <w:pPr>
        <w:pStyle w:val="ImageCaption"/>
      </w:pPr>
      <w:r>
        <w:t xml:space="preserve">Figure 7.3. Publication-year distribution in the catalog metadata. Missing or uncertain years remain represented in the generated source data rather than being imputed.</w:t>
      </w:r>
    </w:p>
    <w:p>
      <w:pPr>
        <w:pStyle w:val="BodyText"/>
      </w:pPr>
      <w:r>
        <w:t xml:space="preserve">The distribution in</w:t>
      </w:r>
      <w:r>
        <w:t xml:space="preserve"> </w:t>
      </w:r>
      <w:hyperlink w:anchor="fig:years">
        <w:r>
          <w:rPr>
            <w:rStyle w:val="Hyperlink"/>
          </w:rPr>
          <w:t xml:space="preserve">Figure 7.3</w:t>
        </w:r>
      </w:hyperlink>
      <w:r>
        <w:t xml:space="preserve"> </w:t>
      </w:r>
      <w:r>
        <w:t xml:space="preserve">characterises the seed, not eligibility. The sanitized release excludes PDFs, derived text, databases/indexes, raw answers/snippets/recommendations, and other restricted content because project authorization is not blanket redistribution permission. It retains safe metadata, schemas, structural results, labels, hashes, and instructions. Paper-level rights/review/generation approval is independent; the current public projection is empty.</w:t>
      </w:r>
    </w:p>
    <w:bookmarkEnd w:id="93"/>
    <w:bookmarkEnd w:id="94"/>
    <w:bookmarkStart w:id="122" w:name="ch:implementation"/>
    <w:p>
      <w:pPr>
        <w:pStyle w:val="Heading1"/>
      </w:pPr>
      <w:r>
        <w:rPr>
          <w:rStyle w:val="SectionNumber"/>
        </w:rPr>
        <w:t xml:space="preserve">8</w:t>
      </w:r>
      <w:r>
        <w:tab/>
      </w:r>
      <w:r>
        <w:t xml:space="preserve">Implementation</w:t>
      </w:r>
    </w:p>
    <w:bookmarkStart w:id="95" w:name="backend-and-persistence"/>
    <w:p>
      <w:pPr>
        <w:pStyle w:val="Heading2"/>
      </w:pPr>
      <w:r>
        <w:rPr>
          <w:rStyle w:val="SectionNumber"/>
        </w:rPr>
        <w:t xml:space="preserve">8.1</w:t>
      </w:r>
      <w:r>
        <w:tab/>
      </w:r>
      <w:r>
        <w:t xml:space="preserve">Backend and persistence</w:t>
      </w:r>
    </w:p>
    <w:p>
      <w:pPr>
        <w:pStyle w:val="FirstParagraph"/>
      </w:pPr>
      <w:r>
        <w:t xml:space="preserve">FastAPI registers public and protected routers; SQLModel maps entities to SQLite. Startup rejects authoritative indexes whose active generation, corpus, configuration, file hash, role, or coverage is invalid.</w:t>
      </w:r>
      <w:r>
        <w:t xml:space="preserve"> </w:t>
      </w:r>
      <w:r>
        <w:rPr>
          <w:rStyle w:val="VerbatimChar"/>
        </w:rPr>
        <w:t xml:space="preserve">/health</w:t>
      </w:r>
      <w:r>
        <w:t xml:space="preserve"> </w:t>
      </w:r>
      <w:r>
        <w:t xml:space="preserve">reports liveness;</w:t>
      </w:r>
      <w:r>
        <w:t xml:space="preserve"> </w:t>
      </w:r>
      <w:r>
        <w:rPr>
          <w:rStyle w:val="VerbatimChar"/>
        </w:rPr>
        <w:t xml:space="preserve">/ready</w:t>
      </w:r>
      <w:r>
        <w:t xml:space="preserve"> </w:t>
      </w:r>
      <w:r>
        <w:t xml:space="preserve">separately reports database, retrieval, public-projection, and deployment controls without exposing local paths.</w:t>
      </w:r>
    </w:p>
    <w:p>
      <w:pPr>
        <w:pStyle w:val="BodyText"/>
      </w:pPr>
      <w:r>
        <w:t xml:space="preserve">RAG answers retain question, answer, retrieved evidence/citations, provider/model/configuration, corpus/retrieval identity, grounding/support states, warnings, timestamps, and review metadata. Structured recommendations retain the profile, ranked evidence, gap/suggestion boundary, scope, skills/data/risk/evaluation fields, provenance, and review state. Public Idea Generator turns are request-scoped: the response retains provider/model, prompt/configuration hashes, corpus/retrieval identity, source chunks, basis, warnings, and time, but the endpoint does not persist the conversation. Public serializers omit technical hashes, paths, private notes, and restricted evidence.</w:t>
      </w:r>
    </w:p>
    <w:bookmarkEnd w:id="95"/>
    <w:bookmarkStart w:id="99" w:name="retrieval-modes"/>
    <w:p>
      <w:pPr>
        <w:pStyle w:val="Heading2"/>
      </w:pPr>
      <w:r>
        <w:rPr>
          <w:rStyle w:val="SectionNumber"/>
        </w:rPr>
        <w:t xml:space="preserve">8.2</w:t>
      </w:r>
      <w:r>
        <w:tab/>
      </w:r>
      <w:r>
        <w:t xml:space="preserve">Retrieval modes</w:t>
      </w:r>
    </w:p>
    <w:p>
      <w:pPr>
        <w:pStyle w:val="FirstParagraph"/>
      </w:pPr>
      <w:r>
        <w:t xml:space="preserve">Keyword retrieval uses SQLite FTS5 and its</w:t>
      </w:r>
      <w:r>
        <w:t xml:space="preserve"> </w:t>
      </w:r>
      <w:r>
        <w:rPr>
          <w:rStyle w:val="VerbatimChar"/>
        </w:rPr>
        <w:t xml:space="preserve">bm25()</w:t>
      </w:r>
      <w:r>
        <w:t xml:space="preserve"> </w:t>
      </w:r>
      <w:r>
        <w:t xml:space="preserve">rank, with a deterministic token-frequency fallback. Feature hashing maps lower-cased alphanumeric tokens through signed SHA-256 buckets into 256 L2-normalised dimensions. Learned dense retrieval uses the pinned</w:t>
      </w:r>
      <w:r>
        <w:t xml:space="preserve"> </w:t>
      </w:r>
      <w:r>
        <w:rPr>
          <w:rStyle w:val="VerbatimChar"/>
        </w:rPr>
        <w:t xml:space="preserve">all-MiniLM-L6-v2</w:t>
      </w:r>
      <w:r>
        <w:t xml:space="preserve"> </w:t>
      </w:r>
      <w:r>
        <w:t xml:space="preserve">encoder and 384-dimensional L2-normalised vectors. Long chunks are encoded as overlapping 254-token windows, mean pooled, and renormalised. Query/chunk similarity is cosine similarity.</w:t>
      </w:r>
    </w:p>
    <w:p>
      <w:pPr>
        <w:pStyle w:val="BodyText"/>
      </w:pPr>
      <w:r>
        <w:t xml:space="preserve">The heuristic hybrid combines normalised keyword/vector scores with metadata, section, evidence, topic, and diversity terms; historical tuning selected keyword 0.10 and dense 0.80 on development MRR. APIs expose four accurately named modes and source/freshness diagnostics. The dense runtime caches a validated matrix by atomic pointer/manifest signature, ranks vectors before hydrating only the selected SQLite rows, and invalidates the cache when the active generation changes. Public retrieval applies the independent production projection before fusion and rejects stale chunk bytes, generations, or publication state. A loopback-only demo preview is a separately labelled configuration, not a silent fallback.</w:t>
      </w:r>
    </w:p>
    <w:p>
      <w:pPr>
        <w:pStyle w:val="CaptionedFigure"/>
      </w:pPr>
      <w:r>
        <w:drawing>
          <wp:inline>
            <wp:extent cx="5177522" cy="2015349"/>
            <wp:effectExtent b="0" l="0" r="0" t="0"/>
            <wp:docPr descr="Figure 8.1. Authoritative index coverage. Keyword FTS, feature hashing, and learned dense retrieval each cover all 719 eligible chunks." title="Figure 8.1." id="97" name="Picture"/>
            <a:graphic>
              <a:graphicData uri="http://schemas.openxmlformats.org/drawingml/2006/picture">
                <pic:pic>
                  <pic:nvPicPr>
                    <pic:cNvPr descr="word-assets/index_coverage_plot.png" id="98" name="Picture"/>
                    <pic:cNvPicPr>
                      <a:picLocks noChangeArrowheads="1" noChangeAspect="1"/>
                    </pic:cNvPicPr>
                  </pic:nvPicPr>
                  <pic:blipFill>
                    <a:blip r:embed="rId96"/>
                    <a:stretch>
                      <a:fillRect/>
                    </a:stretch>
                  </pic:blipFill>
                  <pic:spPr bwMode="auto">
                    <a:xfrm>
                      <a:off x="0" y="0"/>
                      <a:ext cx="5177522" cy="2015349"/>
                    </a:xfrm>
                    <a:prstGeom prst="rect">
                      <a:avLst/>
                    </a:prstGeom>
                    <a:noFill/>
                    <a:ln w="9525">
                      <a:noFill/>
                      <a:headEnd/>
                      <a:tailEnd/>
                    </a:ln>
                  </pic:spPr>
                </pic:pic>
              </a:graphicData>
            </a:graphic>
          </wp:inline>
        </w:drawing>
      </w:r>
    </w:p>
    <w:p>
      <w:pPr>
        <w:pStyle w:val="ImageCaption"/>
      </w:pPr>
      <w:r>
        <w:t xml:space="preserve">Figure 8.1. Authoritative index coverage. Keyword FTS, feature hashing, and learned dense retrieval each cover all 719 eligible chunks.</w:t>
      </w:r>
    </w:p>
    <w:bookmarkEnd w:id="99"/>
    <w:bookmarkStart w:id="103" w:name="question-answering-and-citation-checks"/>
    <w:p>
      <w:pPr>
        <w:pStyle w:val="Heading2"/>
      </w:pPr>
      <w:r>
        <w:rPr>
          <w:rStyle w:val="SectionNumber"/>
        </w:rPr>
        <w:t xml:space="preserve">8.3</w:t>
      </w:r>
      <w:r>
        <w:tab/>
      </w:r>
      <w:r>
        <w:t xml:space="preserve">Question answering and citation checks</w:t>
      </w:r>
    </w:p>
    <w:p>
      <w:pPr>
        <w:pStyle w:val="FirstParagraph"/>
      </w:pPr>
      <w:hyperlink w:anchor="fig:rag-workflow">
        <w:r>
          <w:rPr>
            <w:rStyle w:val="Hyperlink"/>
          </w:rPr>
          <w:t xml:space="preserve">Figure 8.2</w:t>
        </w:r>
      </w:hyperlink>
      <w:r>
        <w:t xml:space="preserve"> </w:t>
      </w:r>
      <w:r>
        <w:t xml:space="preserve">traces Ask. A fixed evidence-coverage rule abstains before composition when a question is not answerable; explicit paper scope handles referential wording. The reproducible provider is offline extraction. Claim decomposition prunes unused citations and records</w:t>
      </w:r>
      <w:r>
        <w:t xml:space="preserve"> </w:t>
      </w:r>
      <w:r>
        <w:rPr>
          <w:rStyle w:val="VerbatimChar"/>
        </w:rPr>
        <w:t xml:space="preserve">support_unverified</w:t>
      </w:r>
      <w:r>
        <w:t xml:space="preserve"> </w:t>
      </w:r>
      <w:r>
        <w:t xml:space="preserve">until atomic review, so locator validity cannot silently become entailment.</w:t>
      </w:r>
    </w:p>
    <w:p>
      <w:pPr>
        <w:pStyle w:val="BodyText"/>
      </w:pPr>
      <w:r>
        <w:t xml:space="preserve">The optional Ask adapter requires the effective Ollama policy, rejects pre/post digest drift, and claims generation-time digest verification only when the response reports it; otherwise it records a mutable-tag limitation. Provider failure yields a visible extractive fallback. Paper-scoped Ask augments generic referential prompts with the selected paper title before retrieval. The historical service was unavailable, so no model-quality or latency comparison is claimed.</w:t>
      </w:r>
    </w:p>
    <w:p>
      <w:pPr>
        <w:pStyle w:val="BodyText"/>
      </w:pPr>
      <w:r>
        <w:t xml:space="preserve">The verifier checks identifiers, generation membership, exact current chunk bytes, page locators, fields, and lexical overlap. Its status is structural grounding; AI-silver review assesses support, citation choice, coverage, and abstention separately.</w:t>
      </w:r>
    </w:p>
    <w:p>
      <w:pPr>
        <w:pStyle w:val="CaptionedFigure"/>
      </w:pPr>
      <w:r>
        <w:drawing>
          <wp:inline>
            <wp:extent cx="5315712" cy="2515301"/>
            <wp:effectExtent b="0" l="0" r="0" t="0"/>
            <wp:docPr descr="Figure 8.2. Search and RAG workflow. All retrieval modes preserve source locators; structural verification is distinct from claim-level support review." title="Figure 8.2." id="101" name="Picture"/>
            <a:graphic>
              <a:graphicData uri="http://schemas.openxmlformats.org/drawingml/2006/picture">
                <pic:pic>
                  <pic:nvPicPr>
                    <pic:cNvPr descr="word-assets/search_rag_workflow.png" id="102" name="Picture"/>
                    <pic:cNvPicPr>
                      <a:picLocks noChangeArrowheads="1" noChangeAspect="1"/>
                    </pic:cNvPicPr>
                  </pic:nvPicPr>
                  <pic:blipFill>
                    <a:blip r:embed="rId100"/>
                    <a:stretch>
                      <a:fillRect/>
                    </a:stretch>
                  </pic:blipFill>
                  <pic:spPr bwMode="auto">
                    <a:xfrm>
                      <a:off x="0" y="0"/>
                      <a:ext cx="5315712" cy="2515301"/>
                    </a:xfrm>
                    <a:prstGeom prst="rect">
                      <a:avLst/>
                    </a:prstGeom>
                    <a:noFill/>
                    <a:ln w="9525">
                      <a:noFill/>
                      <a:headEnd/>
                      <a:tailEnd/>
                    </a:ln>
                  </pic:spPr>
                </pic:pic>
              </a:graphicData>
            </a:graphic>
          </wp:inline>
        </w:drawing>
      </w:r>
    </w:p>
    <w:p>
      <w:pPr>
        <w:pStyle w:val="ImageCaption"/>
      </w:pPr>
      <w:r>
        <w:t xml:space="preserve">Figure 8.2. Search and RAG workflow. All retrieval modes preserve source locators; structural verification is distinct from claim-level support review.</w:t>
      </w:r>
    </w:p>
    <w:bookmarkEnd w:id="103"/>
    <w:bookmarkStart w:id="104" w:name="conversational-idea-generator"/>
    <w:p>
      <w:pPr>
        <w:pStyle w:val="Heading2"/>
      </w:pPr>
      <w:r>
        <w:rPr>
          <w:rStyle w:val="SectionNumber"/>
        </w:rPr>
        <w:t xml:space="preserve">8.4</w:t>
      </w:r>
      <w:r>
        <w:tab/>
      </w:r>
      <w:r>
        <w:t xml:space="preserve">Conversational Idea Generator</w:t>
      </w:r>
    </w:p>
    <w:p>
      <w:pPr>
        <w:pStyle w:val="FirstParagraph"/>
      </w:pPr>
      <w:r>
        <w:t xml:space="preserve">The current public</w:t>
      </w:r>
      <w:r>
        <w:t xml:space="preserve"> </w:t>
      </w:r>
      <w:r>
        <w:rPr>
          <w:rStyle w:val="VerbatimChar"/>
        </w:rPr>
        <w:t xml:space="preserve">/extensions</w:t>
      </w:r>
      <w:r>
        <w:t xml:space="preserve"> </w:t>
      </w:r>
      <w:r>
        <w:t xml:space="preserve">route is a conversational Idea Generator rather than the structured Finder form. A request contains a message of at most 2,000 characters plus at most twelve prior user/assistant turns and 6,000 history characters. The backend builds a query from the current message and up to three recent user turns, runs keyword retrieval at depth twelve, applies the fixed answerability gate, and retains at most six unique paper sources. The conversation remains browser/request state and is not written to recommendation history.</w:t>
      </w:r>
    </w:p>
    <w:p>
      <w:pPr>
        <w:pStyle w:val="BodyText"/>
      </w:pPr>
      <w:r>
        <w:t xml:space="preserve">The local model must return one to three schema-validated ideas containing a title, research question, summary, fit rationale, MVP, skills, evaluation plan, and source aliases. The prompt explicitly prohibits novelty, guaranteed-feasibility, and supervisor-endorsement claims. Every alias is resolved only against the retrieved evidence map. Invalid labels are replaced and warned; an idea with at least one valid alias is</w:t>
      </w:r>
      <w:r>
        <w:t xml:space="preserve"> </w:t>
      </w:r>
      <w:r>
        <w:rPr>
          <w:rStyle w:val="VerbatimChar"/>
        </w:rPr>
        <w:t xml:space="preserve">paper_informed</w:t>
      </w:r>
      <w:r>
        <w:t xml:space="preserve">, otherwise it is a</w:t>
      </w:r>
      <w:r>
        <w:t xml:space="preserve"> </w:t>
      </w:r>
      <w:r>
        <w:rPr>
          <w:rStyle w:val="VerbatimChar"/>
        </w:rPr>
        <w:t xml:space="preserve">general_suggestion</w:t>
      </w:r>
      <w:r>
        <w:t xml:space="preserve">. A cited paper therefore supplies background or inspiration, not proof that the proposal is novel, feasible, or supported by that paper.</w:t>
      </w:r>
    </w:p>
    <w:p>
      <w:pPr>
        <w:pStyle w:val="BodyText"/>
      </w:pPr>
      <w:r>
        <w:t xml:space="preserve">Idea generation is intentionally strict: it uses the approved local Ollama provider and does not silently fall back to extraction or an external service. Production requires an approved tag/digest; an explicit local demo may permit installed models while recording the observed digest. The service checks identity before and after generation, requests JSON-schema output, makes one bounded repair attempt, returns a retryable 503 when the provider/identity is unavailable, and returns a retryable 502 after two invalid structured responses. Runtime provenance records corpus scope, retrieval strategy, source chunks, prompt-template/configuration hashes, provider/model identity, digest attestation state, and timestamp.</w:t>
      </w:r>
    </w:p>
    <w:p>
      <w:pPr>
        <w:pStyle w:val="BodyText"/>
      </w:pPr>
      <w:r>
        <w:t xml:space="preserve">This feature was implemented after the frozen v1/v2 evaluations. Four source-derived formative prompts exercise RAG, agriculture, out-of-corpus, and multi-turn scoping behavior, while backend and frontend tests verify schemas, alias filtering, provenance, no-match labeling, failure states, and transient UI behavior. They are regression fixtures rather than gold judgments and do not establish live-model quality, usefulness, novelty, or feasibility.</w:t>
      </w:r>
    </w:p>
    <w:bookmarkEnd w:id="104"/>
    <w:bookmarkStart w:id="110" w:name="thesis-extension-finder"/>
    <w:p>
      <w:pPr>
        <w:pStyle w:val="Heading2"/>
      </w:pPr>
      <w:r>
        <w:rPr>
          <w:rStyle w:val="SectionNumber"/>
        </w:rPr>
        <w:t xml:space="preserve">8.5</w:t>
      </w:r>
      <w:r>
        <w:tab/>
      </w:r>
      <w:r>
        <w:t xml:space="preserve">Thesis Extension Finder</w:t>
      </w:r>
    </w:p>
    <w:p>
      <w:pPr>
        <w:pStyle w:val="FirstParagraph"/>
      </w:pPr>
      <w:r>
        <w:t xml:space="preserve">The finder accepts interests, skills, time, project/data constraints, difficulty/topics, retrieval mode, and result count. It groups evidence by paper and scores retrieval 0.30, interest/topic 0.20, skills 0.15, data/time/difficulty 0.10 each, evidence 0.05, and avoided topics</w:t>
      </w:r>
      <w:r>
        <w:t xml:space="preserve"> </w:t>
      </w:r>
      <m:oMath>
        <m:r>
          <m:rPr>
            <m:sty m:val="p"/>
          </m:rPr>
          <m:t>−</m:t>
        </m:r>
        <m:r>
          <m:t>0.20</m:t>
        </m:r>
      </m:oMath>
      <w:r>
        <w:t xml:space="preserve">. These are heuristics, not learned student-success estimates.</w:t>
      </w:r>
    </w:p>
    <w:p>
      <w:pPr>
        <w:pStyle w:val="BodyText"/>
      </w:pPr>
      <w:r>
        <w:t xml:space="preserve">Each output separates paper-supported work, explicit/inferred/missing gap, and suggestion; it includes scope, skills, risk, data assumptions, evaluation, citations, and review. Time, access, and feasibility remain candidate-specific unknowns unless sourced. Evidence-only mode stops before generation and supplies the baseline in</w:t>
      </w:r>
      <w:r>
        <w:t xml:space="preserve"> </w:t>
      </w:r>
      <w:hyperlink w:anchor="fig:recommendation-workflow">
        <w:r>
          <w:rPr>
            <w:rStyle w:val="Hyperlink"/>
          </w:rPr>
          <w:t xml:space="preserve">Figure 8.3</w:t>
        </w:r>
      </w:hyperlink>
      <w:r>
        <w:t xml:space="preserve">.</w:t>
      </w:r>
    </w:p>
    <w:bookmarkStart w:id="109" w:name="finder-requirement-and-failure-contract"/>
    <w:p>
      <w:pPr>
        <w:pStyle w:val="Heading3"/>
      </w:pPr>
      <w:r>
        <w:rPr>
          <w:rStyle w:val="SectionNumber"/>
        </w:rPr>
        <w:t xml:space="preserve">8.5.1</w:t>
      </w:r>
      <w:r>
        <w:tab/>
      </w:r>
      <w:r>
        <w:t xml:space="preserve">Finder requirement and failure contract</w:t>
      </w:r>
    </w:p>
    <w:p>
      <w:pPr>
        <w:pStyle w:val="FirstParagraph"/>
      </w:pPr>
      <w:r>
        <w:t xml:space="preserve">The Finder’s input contract rejects an empty interest set, bounds list/text lengths, validates enumerated difficulty/project/data values, normalizes weights, and constrains result count. The public</w:t>
      </w:r>
      <w:r>
        <w:t xml:space="preserve"> </w:t>
      </w:r>
      <w:r>
        <w:rPr>
          <w:rStyle w:val="VerbatimChar"/>
        </w:rPr>
        <w:t xml:space="preserve">POST /api/recommendations/extensions</w:t>
      </w:r>
      <w:r>
        <w:t xml:space="preserve"> </w:t>
      </w:r>
      <w:r>
        <w:t xml:space="preserve">call always uses</w:t>
      </w:r>
      <w:r>
        <w:t xml:space="preserve"> </w:t>
      </w:r>
      <w:r>
        <w:rPr>
          <w:rStyle w:val="VerbatimChar"/>
        </w:rPr>
        <w:t xml:space="preserve">persist=False</w:t>
      </w:r>
      <w:r>
        <w:t xml:space="preserve">; protected history/detail calls require a reviewer actor. The browser echoes the submitted profile and mode so a user can detect stale or misapplied constraints. It retains the last successful result while a refresh is in progress and exposes a retry action after failure.</w:t>
      </w:r>
    </w:p>
    <w:p>
      <w:pPr>
        <w:pStyle w:val="BodyText"/>
      </w:pPr>
      <w:hyperlink w:anchor="tab:finder-contract">
        <w:r>
          <w:rPr>
            <w:rStyle w:val="Hyperlink"/>
          </w:rPr>
          <w:t xml:space="preserve">Table 8.1</w:t>
        </w:r>
      </w:hyperlink>
      <w:r>
        <w:t xml:space="preserve"> </w:t>
      </w:r>
      <w:r>
        <w:t xml:space="preserve">distinguishes a ranked evidence result from the additional claims in a generated recommendation.</w:t>
      </w:r>
    </w:p>
    <w:bookmarkStart w:id="105" w:name="tab:finder-contract"/>
    <w:p>
      <w:pPr>
        <w:pStyle w:val="TableCaption"/>
      </w:pPr>
      <w:r>
        <w:t xml:space="preserve">Table 8.1. Finder output fields, source status, and failure interpretation.</w:t>
      </w:r>
    </w:p>
    <w:tbl>
      <w:tblPr>
        <w:tblStyle w:val="Table"/>
        <w:tblW w:type="auto" w:w="0"/>
        <w:tblLook w:firstRow="1" w:lastRow="0" w:firstColumn="0" w:lastColumn="0" w:noHBand="0" w:noVBand="0" w:val="0020"/>
        <w:jc w:val="start"/>
        <w:tblCaption w:val="Table 8.1. Finder output fields, source status, and failure interpretation."/>
      </w:tblPr>
      <w:tblGrid>
        <w:gridCol w:w="2640"/>
        <w:gridCol w:w="2640"/>
        <w:gridCol w:w="2640"/>
      </w:tblGrid>
      <w:tr>
        <w:trPr>
          <w:tblHeader w:val="true"/>
          <w:cantSplit/>
        </w:trPr>
        <w:tc>
          <w:tcPr/>
          <w:p>
            <w:pPr>
              <w:pStyle w:val="Compact"/>
              <w:jc w:val="left"/>
            </w:pPr>
            <w:r>
              <w:t xml:space="preserve">Output</w:t>
            </w:r>
          </w:p>
        </w:tc>
        <w:tc>
          <w:tcPr/>
          <w:p>
            <w:pPr>
              <w:pStyle w:val="Compact"/>
              <w:jc w:val="left"/>
            </w:pPr>
            <w:r>
              <w:t xml:space="preserve">Evidence status</w:t>
            </w:r>
          </w:p>
        </w:tc>
        <w:tc>
          <w:tcPr/>
          <w:p>
            <w:pPr>
              <w:pStyle w:val="Compact"/>
              <w:jc w:val="left"/>
            </w:pPr>
            <w:r>
              <w:t xml:space="preserve">Required user interpretation</w:t>
            </w:r>
          </w:p>
        </w:tc>
      </w:tr>
      <w:tr>
        <w:trPr>
          <w:cantSplit/>
        </w:trPr>
        <w:tc>
          <w:tcPr/>
          <w:p>
            <w:pPr>
              <w:pStyle w:val="Compact"/>
              <w:jc w:val="left"/>
            </w:pPr>
            <w:r>
              <w:t xml:space="preserve">ranked paper/passages</w:t>
            </w:r>
          </w:p>
        </w:tc>
        <w:tc>
          <w:tcPr/>
          <w:p>
            <w:pPr>
              <w:pStyle w:val="Compact"/>
              <w:jc w:val="left"/>
            </w:pPr>
            <w:r>
              <w:t xml:space="preserve">retrieved paper/chunk/page evidence</w:t>
            </w:r>
          </w:p>
        </w:tc>
        <w:tc>
          <w:tcPr/>
          <w:p>
            <w:pPr>
              <w:pStyle w:val="Compact"/>
              <w:jc w:val="left"/>
            </w:pPr>
            <w:r>
              <w:t xml:space="preserve">relevant candidate evidence, not project approval</w:t>
            </w:r>
          </w:p>
        </w:tc>
      </w:tr>
      <w:tr>
        <w:trPr>
          <w:cantSplit/>
        </w:trPr>
        <w:tc>
          <w:tcPr/>
          <w:p>
            <w:pPr>
              <w:pStyle w:val="Compact"/>
              <w:jc w:val="left"/>
            </w:pPr>
            <w:r>
              <w:t xml:space="preserve">baseline work</w:t>
            </w:r>
          </w:p>
        </w:tc>
        <w:tc>
          <w:tcPr/>
          <w:p>
            <w:pPr>
              <w:pStyle w:val="Compact"/>
              <w:jc w:val="left"/>
            </w:pPr>
            <w:r>
              <w:t xml:space="preserve">source-supported summary of what the paper did</w:t>
            </w:r>
          </w:p>
        </w:tc>
        <w:tc>
          <w:tcPr/>
          <w:p>
            <w:pPr>
              <w:pStyle w:val="Compact"/>
              <w:jc w:val="left"/>
            </w:pPr>
            <w:r>
              <w:t xml:space="preserve">paper fact bounded by cited passages</w:t>
            </w:r>
          </w:p>
        </w:tc>
      </w:tr>
      <w:tr>
        <w:trPr>
          <w:cantSplit/>
        </w:trPr>
        <w:tc>
          <w:tcPr/>
          <w:p>
            <w:pPr>
              <w:pStyle w:val="Compact"/>
              <w:jc w:val="left"/>
            </w:pPr>
            <w:r>
              <w:t xml:space="preserve">future work/gap</w:t>
            </w:r>
          </w:p>
        </w:tc>
        <w:tc>
          <w:tcPr/>
          <w:p>
            <w:pPr>
              <w:pStyle w:val="Compact"/>
              <w:jc w:val="left"/>
            </w:pPr>
            <w:r>
              <w:t xml:space="preserve">explicit, inferred, or missing state retained</w:t>
            </w:r>
          </w:p>
        </w:tc>
        <w:tc>
          <w:tcPr/>
          <w:p>
            <w:pPr>
              <w:pStyle w:val="Compact"/>
              <w:jc w:val="left"/>
            </w:pPr>
            <w:r>
              <w:t xml:space="preserve">only</w:t>
            </w:r>
            <w:r>
              <w:t xml:space="preserve"> </w:t>
            </w:r>
            <w:r>
              <w:t xml:space="preserve">“</w:t>
            </w:r>
            <w:r>
              <w:t xml:space="preserve">explicit</w:t>
            </w:r>
            <w:r>
              <w:t xml:space="preserve">”</w:t>
            </w:r>
            <w:r>
              <w:t xml:space="preserve"> </w:t>
            </w:r>
            <w:r>
              <w:t xml:space="preserve">may be attributed to the paper</w:t>
            </w:r>
          </w:p>
        </w:tc>
      </w:tr>
      <w:tr>
        <w:trPr>
          <w:cantSplit/>
        </w:trPr>
        <w:tc>
          <w:tcPr/>
          <w:p>
            <w:pPr>
              <w:pStyle w:val="Compact"/>
              <w:jc w:val="left"/>
            </w:pPr>
            <w:r>
              <w:t xml:space="preserve">suggested extension</w:t>
            </w:r>
          </w:p>
        </w:tc>
        <w:tc>
          <w:tcPr/>
          <w:p>
            <w:pPr>
              <w:pStyle w:val="Compact"/>
              <w:jc w:val="left"/>
            </w:pPr>
            <w:r>
              <w:t xml:space="preserve">system-generated proposal</w:t>
            </w:r>
          </w:p>
        </w:tc>
        <w:tc>
          <w:tcPr/>
          <w:p>
            <w:pPr>
              <w:pStyle w:val="Compact"/>
              <w:jc w:val="left"/>
            </w:pPr>
            <w:r>
              <w:t xml:space="preserve">brainstorming output requiring novelty and feasibility checks</w:t>
            </w:r>
          </w:p>
        </w:tc>
      </w:tr>
      <w:tr>
        <w:trPr>
          <w:cantSplit/>
        </w:trPr>
        <w:tc>
          <w:tcPr/>
          <w:p>
            <w:pPr>
              <w:pStyle w:val="Compact"/>
              <w:jc w:val="left"/>
            </w:pPr>
            <w:r>
              <w:t xml:space="preserve">MVP/stretch/skills/data</w:t>
            </w:r>
          </w:p>
        </w:tc>
        <w:tc>
          <w:tcPr/>
          <w:p>
            <w:pPr>
              <w:pStyle w:val="Compact"/>
              <w:jc w:val="left"/>
            </w:pPr>
            <w:r>
              <w:t xml:space="preserve">structured planning fields with assumptions</w:t>
            </w:r>
          </w:p>
        </w:tc>
        <w:tc>
          <w:tcPr/>
          <w:p>
            <w:pPr>
              <w:pStyle w:val="Compact"/>
              <w:jc w:val="left"/>
            </w:pPr>
            <w:r>
              <w:t xml:space="preserve">scope aid; time, access, and mastery remain unverified</w:t>
            </w:r>
          </w:p>
        </w:tc>
      </w:tr>
      <w:tr>
        <w:trPr>
          <w:cantSplit/>
        </w:trPr>
        <w:tc>
          <w:tcPr/>
          <w:p>
            <w:pPr>
              <w:pStyle w:val="Compact"/>
              <w:jc w:val="left"/>
            </w:pPr>
            <w:r>
              <w:t xml:space="preserve">risk/difficulty</w:t>
            </w:r>
          </w:p>
        </w:tc>
        <w:tc>
          <w:tcPr/>
          <w:p>
            <w:pPr>
              <w:pStyle w:val="Compact"/>
              <w:jc w:val="left"/>
            </w:pPr>
            <w:r>
              <w:t xml:space="preserve">heuristic categorization plus rationale</w:t>
            </w:r>
          </w:p>
        </w:tc>
        <w:tc>
          <w:tcPr/>
          <w:p>
            <w:pPr>
              <w:pStyle w:val="Compact"/>
              <w:jc w:val="left"/>
            </w:pPr>
            <w:r>
              <w:t xml:space="preserve">warning, not calibrated probability</w:t>
            </w:r>
          </w:p>
        </w:tc>
      </w:tr>
      <w:tr>
        <w:trPr>
          <w:cantSplit/>
        </w:trPr>
        <w:tc>
          <w:tcPr/>
          <w:p>
            <w:pPr>
              <w:pStyle w:val="Compact"/>
              <w:jc w:val="left"/>
            </w:pPr>
            <w:r>
              <w:t xml:space="preserve">evaluation plan</w:t>
            </w:r>
          </w:p>
        </w:tc>
        <w:tc>
          <w:tcPr/>
          <w:p>
            <w:pPr>
              <w:pStyle w:val="Compact"/>
              <w:jc w:val="left"/>
            </w:pPr>
            <w:r>
              <w:t xml:space="preserve">proposed metric/baseline/data procedure</w:t>
            </w:r>
          </w:p>
        </w:tc>
        <w:tc>
          <w:tcPr/>
          <w:p>
            <w:pPr>
              <w:pStyle w:val="Compact"/>
              <w:jc w:val="left"/>
            </w:pPr>
            <w:r>
              <w:t xml:space="preserve">incomplete unless dataset, split, baseline, and threshold are defensible</w:t>
            </w:r>
          </w:p>
        </w:tc>
      </w:tr>
      <w:tr>
        <w:trPr>
          <w:cantSplit/>
        </w:trPr>
        <w:tc>
          <w:tcPr/>
          <w:p>
            <w:pPr>
              <w:pStyle w:val="Compact"/>
              <w:jc w:val="left"/>
            </w:pPr>
            <w:r>
              <w:t xml:space="preserve">researcher fit</w:t>
            </w:r>
          </w:p>
        </w:tc>
        <w:tc>
          <w:tcPr/>
          <w:p>
            <w:pPr>
              <w:pStyle w:val="Compact"/>
              <w:jc w:val="left"/>
            </w:pPr>
            <w:r>
              <w:t xml:space="preserve">publication-derived topic/author evidence</w:t>
            </w:r>
          </w:p>
        </w:tc>
        <w:tc>
          <w:tcPr/>
          <w:p>
            <w:pPr>
              <w:pStyle w:val="Compact"/>
              <w:jc w:val="left"/>
            </w:pPr>
            <w:r>
              <w:t xml:space="preserve">no availability, endorsement, or supervision claim</w:t>
            </w:r>
          </w:p>
        </w:tc>
      </w:tr>
      <w:tr>
        <w:trPr>
          <w:cantSplit/>
        </w:trPr>
        <w:tc>
          <w:tcPr/>
          <w:p>
            <w:pPr>
              <w:pStyle w:val="Compact"/>
              <w:jc w:val="left"/>
            </w:pPr>
            <w:r>
              <w:t xml:space="preserve">grounding/review state</w:t>
            </w:r>
          </w:p>
        </w:tc>
        <w:tc>
          <w:tcPr/>
          <w:p>
            <w:pPr>
              <w:pStyle w:val="Compact"/>
              <w:jc w:val="left"/>
            </w:pPr>
            <w:r>
              <w:t xml:space="preserve">structural verifier plus persisted review metadata</w:t>
            </w:r>
          </w:p>
        </w:tc>
        <w:tc>
          <w:tcPr/>
          <w:p>
            <w:pPr>
              <w:pStyle w:val="Compact"/>
              <w:jc w:val="left"/>
            </w:pPr>
            <w:r>
              <w:t xml:space="preserve">neither state alone establishes human approval</w:t>
            </w:r>
          </w:p>
        </w:tc>
      </w:tr>
    </w:tbl>
    <w:bookmarkEnd w:id="105"/>
    <w:p>
      <w:pPr>
        <w:pStyle w:val="BodyText"/>
      </w:pPr>
      <w:r>
        <w:t xml:space="preserve">Failure states distinguish over-constraint, unavailable index, no approved public evidence, and no match. Missing gap evidence is not fabricated; partial support retains warnings/citations. Public requests remain transient, expose no technical-scope override, and legacy records without generation identity require reprocessing.</w:t>
      </w:r>
    </w:p>
    <w:p>
      <w:pPr>
        <w:pStyle w:val="CaptionedFigure"/>
      </w:pPr>
      <w:r>
        <w:drawing>
          <wp:inline>
            <wp:extent cx="5315712" cy="3548318"/>
            <wp:effectExtent b="0" l="0" r="0" t="0"/>
            <wp:docPr descr="Figure 8.3. Recommendation workflow and its 28-profile AI-proxy evaluation. The final suggestion remains advice requiring external feasibility and novelty confirmation." title="Figure 8.3." id="107" name="Picture"/>
            <a:graphic>
              <a:graphicData uri="http://schemas.openxmlformats.org/drawingml/2006/picture">
                <pic:pic>
                  <pic:nvPicPr>
                    <pic:cNvPr descr="word-assets/recommendation_workflow.png" id="108" name="Picture"/>
                    <pic:cNvPicPr>
                      <a:picLocks noChangeArrowheads="1" noChangeAspect="1"/>
                    </pic:cNvPicPr>
                  </pic:nvPicPr>
                  <pic:blipFill>
                    <a:blip r:embed="rId106"/>
                    <a:stretch>
                      <a:fillRect/>
                    </a:stretch>
                  </pic:blipFill>
                  <pic:spPr bwMode="auto">
                    <a:xfrm>
                      <a:off x="0" y="0"/>
                      <a:ext cx="5315712" cy="3548318"/>
                    </a:xfrm>
                    <a:prstGeom prst="rect">
                      <a:avLst/>
                    </a:prstGeom>
                    <a:noFill/>
                    <a:ln w="9525">
                      <a:noFill/>
                      <a:headEnd/>
                      <a:tailEnd/>
                    </a:ln>
                  </pic:spPr>
                </pic:pic>
              </a:graphicData>
            </a:graphic>
          </wp:inline>
        </w:drawing>
      </w:r>
    </w:p>
    <w:p>
      <w:pPr>
        <w:pStyle w:val="ImageCaption"/>
      </w:pPr>
      <w:r>
        <w:t xml:space="preserve">Figure 8.3. Recommendation workflow and its 28-profile AI-proxy evaluation. The final suggestion remains advice requiring external feasibility and novelty confirmation.</w:t>
      </w:r>
    </w:p>
    <w:bookmarkEnd w:id="109"/>
    <w:bookmarkEnd w:id="110"/>
    <w:bookmarkStart w:id="111" w:name="topics-authors-artifacts-and-review"/>
    <w:p>
      <w:pPr>
        <w:pStyle w:val="Heading2"/>
      </w:pPr>
      <w:r>
        <w:rPr>
          <w:rStyle w:val="SectionNumber"/>
        </w:rPr>
        <w:t xml:space="preserve">8.6</w:t>
      </w:r>
      <w:r>
        <w:tab/>
      </w:r>
      <w:r>
        <w:t xml:space="preserve">Topics, authors, artifacts, and review</w:t>
      </w:r>
    </w:p>
    <w:p>
      <w:pPr>
        <w:pStyle w:val="FirstParagraph"/>
      </w:pPr>
      <w:r>
        <w:t xml:space="preserve">The explorer uses a controlled 40-label taxonomy with source evidence; a dense prototype provides comparison. Author-topic scores use eligible technical publications, while anonymous serialization applies the public projection and never falls back to hidden relations. Related-paper ranking combines shared topics/authors, metadata, lexical overlap, and optional vectors.</w:t>
      </w:r>
    </w:p>
    <w:p>
      <w:pPr>
        <w:pStyle w:val="BodyText"/>
      </w:pPr>
      <w:r>
        <w:t xml:space="preserve">The deterministic artifact generator produces public and technical summaries, contributions, methods, limitations, future work, suggested extensions, skills, evaluation plans, and text podcast scripts. Fact, inference, and suggestion types are explicit. Unreviewed generated artifacts may be shown only with an explicit unreviewed-AI warning; corrected replacements enter the public projection only after approval. The Phase 4 review processed every 27 historical RAG answers, 7 recommendation runs, and 14 artifacts. It regenerated evidence-safe artifacts/recommendations where configuration was sufficient; historical RAG configuration was insufficient, so those 27 records were preserved and marked</w:t>
      </w:r>
      <w:r>
        <w:t xml:space="preserve"> </w:t>
      </w:r>
      <w:r>
        <w:rPr>
          <w:rStyle w:val="VerbatimChar"/>
        </w:rPr>
        <w:t xml:space="preserve">needs_reprocess</w:t>
      </w:r>
      <w:r>
        <w:t xml:space="preserve">. A disposable replay created 21 new hash-chained events, reused 27 existing output-version events, and verified 69 events without mutating the live database. A second pass changed 0 rows, demonstrating idempotence within that replay boundary.</w:t>
      </w:r>
    </w:p>
    <w:bookmarkEnd w:id="111"/>
    <w:bookmarkStart w:id="112" w:name="frontend-and-evidence-communication"/>
    <w:p>
      <w:pPr>
        <w:pStyle w:val="Heading2"/>
      </w:pPr>
      <w:r>
        <w:rPr>
          <w:rStyle w:val="SectionNumber"/>
        </w:rPr>
        <w:t xml:space="preserve">8.7</w:t>
      </w:r>
      <w:r>
        <w:tab/>
      </w:r>
      <w:r>
        <w:t xml:space="preserve">Frontend and evidence communication</w:t>
      </w:r>
    </w:p>
    <w:p>
      <w:pPr>
        <w:pStyle w:val="FirstParagraph"/>
      </w:pPr>
      <w:r>
        <w:t xml:space="preserve">The route-based frontend provides all principal public and protected routes. Screens expose source locators, provider/model/time, grounding/review, freshness, generated notices, and empty/error/retry/offline states. Feature switches remove disabled routes from navigation while the corresponding API returns a stable</w:t>
      </w:r>
      <w:r>
        <w:t xml:space="preserve"> </w:t>
      </w:r>
      <w:r>
        <w:rPr>
          <w:rStyle w:val="VerbatimChar"/>
        </w:rPr>
        <w:t xml:space="preserve">503 feature_disabled</w:t>
      </w:r>
      <w:r>
        <w:t xml:space="preserve"> </w:t>
      </w:r>
      <w:r>
        <w:t xml:space="preserve">response; protected diagnostics remain available. Production public emptiness is labelled as an approval/rights boundary, and local-demo previews carry a persistent insecure-demo warning. Evaluation separates historical from identity-bound current evidence. Profiles and Idea Generator turns are transient, and automated tests cover semantics, focus, reduced motion, alternatives, and responsive layouts.</w:t>
      </w:r>
    </w:p>
    <w:p>
      <w:pPr>
        <w:pStyle w:val="BodyText"/>
      </w:pPr>
      <w:r>
        <w:t xml:space="preserve">Public and protected routes deliberately have different data lifecycles. Ask, structured Finder, and Idea Generator calls are transient and expose no public history. Admin Control uses a local account session: the opaque session token is HttpOnly, the readable CSRF cookie is echoed only on state-changing requests, and the browser never receives the password hash. Service bearer actors remain supported for scoped automation. The protected interface exposes review queues plus feature switches, admin-account state, local-model inventory/digest policy, bulk preview/execute, publication preview/execute, and ingestion-sync controls according to actor capability.</w:t>
      </w:r>
    </w:p>
    <w:bookmarkEnd w:id="112"/>
    <w:bookmarkStart w:id="120" w:name="X207454f9db5819b9f8ece5d78238662d8f28b2d"/>
    <w:p>
      <w:pPr>
        <w:pStyle w:val="Heading2"/>
      </w:pPr>
      <w:r>
        <w:rPr>
          <w:rStyle w:val="SectionNumber"/>
        </w:rPr>
        <w:t xml:space="preserve">8.8</w:t>
      </w:r>
      <w:r>
        <w:tab/>
      </w:r>
      <w:r>
        <w:t xml:space="preserve">Frontend, API, failure, and test traceability</w:t>
      </w:r>
    </w:p>
    <w:p>
      <w:pPr>
        <w:pStyle w:val="FirstParagraph"/>
      </w:pPr>
      <w:hyperlink w:anchor="tab:interface-traceability">
        <w:r>
          <w:rPr>
            <w:rStyle w:val="Hyperlink"/>
          </w:rPr>
          <w:t xml:space="preserve">Table 8.2</w:t>
        </w:r>
      </w:hyperlink>
      <w:r>
        <w:t xml:space="preserve"> </w:t>
      </w:r>
      <w:r>
        <w:t xml:space="preserve">connects user-facing requirements to the API and automated evidence. It is intentionally path-specific so that a passing generic page-load test cannot stand in for a citation or authorization contract.</w:t>
      </w:r>
    </w:p>
    <w:bookmarkStart w:id="113" w:name="tab:interface-traceability"/>
    <w:p>
      <w:pPr>
        <w:pStyle w:val="TableCaption"/>
      </w:pPr>
      <w:r>
        <w:t xml:space="preserve">Table 8.2. Requirement–API–view–test traceability for critical public and protected flows.</w:t>
      </w:r>
    </w:p>
    <w:tbl>
      <w:tblPr>
        <w:tblStyle w:val="Table"/>
        <w:tblW w:type="auto" w:w="0"/>
        <w:tblLook w:firstRow="1" w:lastRow="0" w:firstColumn="0" w:lastColumn="0" w:noHBand="0" w:noVBand="0" w:val="0020"/>
        <w:jc w:val="start"/>
        <w:tblCaption w:val="Table 8.2. Requirement–API–view–test traceability for critical public and protected flows."/>
      </w:tblPr>
      <w:tblGrid>
        <w:gridCol w:w="1980"/>
        <w:gridCol w:w="1980"/>
        <w:gridCol w:w="1980"/>
        <w:gridCol w:w="1980"/>
      </w:tblGrid>
      <w:tr>
        <w:trPr>
          <w:tblHeader w:val="true"/>
          <w:cantSplit/>
        </w:trPr>
        <w:tc>
          <w:tcPr/>
          <w:p>
            <w:pPr>
              <w:pStyle w:val="Compact"/>
              <w:jc w:val="left"/>
            </w:pPr>
            <w:r>
              <w:t xml:space="preserve">ID</w:t>
            </w:r>
          </w:p>
        </w:tc>
        <w:tc>
          <w:tcPr/>
          <w:p>
            <w:pPr>
              <w:pStyle w:val="Compact"/>
              <w:jc w:val="left"/>
            </w:pPr>
            <w:r>
              <w:t xml:space="preserve">Requirement/failure state</w:t>
            </w:r>
          </w:p>
        </w:tc>
        <w:tc>
          <w:tcPr/>
          <w:p>
            <w:pPr>
              <w:pStyle w:val="Compact"/>
              <w:jc w:val="left"/>
            </w:pPr>
            <w:r>
              <w:t xml:space="preserve">API and view</w:t>
            </w:r>
          </w:p>
        </w:tc>
        <w:tc>
          <w:tcPr/>
          <w:p>
            <w:pPr>
              <w:pStyle w:val="Compact"/>
              <w:jc w:val="left"/>
            </w:pPr>
            <w:r>
              <w:t xml:space="preserve">Automated evidence</w:t>
            </w:r>
          </w:p>
        </w:tc>
      </w:tr>
      <w:tr>
        <w:trPr>
          <w:cantSplit/>
        </w:trPr>
        <w:tc>
          <w:tcPr/>
          <w:p>
            <w:pPr>
              <w:pStyle w:val="Compact"/>
              <w:jc w:val="left"/>
            </w:pPr>
            <w:r>
              <w:t xml:space="preserve">UI-01</w:t>
            </w:r>
          </w:p>
        </w:tc>
        <w:tc>
          <w:tcPr/>
          <w:p>
            <w:pPr>
              <w:pStyle w:val="Compact"/>
              <w:jc w:val="left"/>
            </w:pPr>
            <w:r>
              <w:t xml:space="preserve">Search exposes active mode, snippets, locators, scores, and index warnings; empty/error/retry remain distinct</w:t>
            </w:r>
          </w:p>
        </w:tc>
        <w:tc>
          <w:tcPr/>
          <w:p>
            <w:pPr>
              <w:pStyle w:val="Compact"/>
              <w:jc w:val="left"/>
            </w:pPr>
            <w:r>
              <w:rPr>
                <w:rStyle w:val="VerbatimChar"/>
              </w:rPr>
              <w:t xml:space="preserve">GET /api/search</w:t>
            </w:r>
            <w:r>
              <w:t xml:space="preserve">; Search route</w:t>
            </w:r>
          </w:p>
        </w:tc>
        <w:tc>
          <w:tcPr/>
          <w:p>
            <w:pPr>
              <w:pStyle w:val="Compact"/>
              <w:jc w:val="left"/>
            </w:pPr>
            <w:r>
              <w:t xml:space="preserve">search/index tests; frontend responsible-AI and routing suites</w:t>
            </w:r>
          </w:p>
        </w:tc>
      </w:tr>
      <w:tr>
        <w:trPr>
          <w:cantSplit/>
        </w:trPr>
        <w:tc>
          <w:tcPr/>
          <w:p>
            <w:pPr>
              <w:pStyle w:val="Compact"/>
              <w:jc w:val="left"/>
            </w:pPr>
            <w:r>
              <w:t xml:space="preserve">UI-02</w:t>
            </w:r>
          </w:p>
        </w:tc>
        <w:tc>
          <w:tcPr/>
          <w:p>
            <w:pPr>
              <w:pStyle w:val="Compact"/>
              <w:jc w:val="left"/>
            </w:pPr>
            <w:r>
              <w:t xml:space="preserve">Ask identifies generated/transient content, citations, pages, provider, structural grounding, and no-citation state</w:t>
            </w:r>
          </w:p>
        </w:tc>
        <w:tc>
          <w:tcPr/>
          <w:p>
            <w:pPr>
              <w:pStyle w:val="Compact"/>
              <w:jc w:val="left"/>
            </w:pPr>
            <w:r>
              <w:rPr>
                <w:rStyle w:val="VerbatimChar"/>
              </w:rPr>
              <w:t xml:space="preserve">POST /api/ask</w:t>
            </w:r>
            <w:r>
              <w:t xml:space="preserve">; Ask route</w:t>
            </w:r>
          </w:p>
        </w:tc>
        <w:tc>
          <w:tcPr/>
          <w:p>
            <w:pPr>
              <w:pStyle w:val="Compact"/>
              <w:jc w:val="left"/>
            </w:pPr>
            <w:r>
              <w:rPr>
                <w:rStyle w:val="VerbatimChar"/>
              </w:rPr>
              <w:t xml:space="preserve">backend/tests/test_ask.py</w:t>
            </w:r>
            <w:r>
              <w:t xml:space="preserve">; citation and fallback assertions in frontend tests</w:t>
            </w:r>
          </w:p>
        </w:tc>
      </w:tr>
      <w:tr>
        <w:trPr>
          <w:cantSplit/>
        </w:trPr>
        <w:tc>
          <w:tcPr/>
          <w:p>
            <w:pPr>
              <w:pStyle w:val="Compact"/>
              <w:jc w:val="left"/>
            </w:pPr>
            <w:r>
              <w:t xml:space="preserve">UI-03</w:t>
            </w:r>
          </w:p>
        </w:tc>
        <w:tc>
          <w:tcPr/>
          <w:p>
            <w:pPr>
              <w:pStyle w:val="Compact"/>
              <w:jc w:val="left"/>
            </w:pPr>
            <w:r>
              <w:t xml:space="preserve">Idea Generator separates paper-informed/general ideas, validates displayed citations, retains provenance, and exposes retryable provider/schema failures</w:t>
            </w:r>
          </w:p>
        </w:tc>
        <w:tc>
          <w:tcPr/>
          <w:p>
            <w:pPr>
              <w:pStyle w:val="Compact"/>
              <w:jc w:val="left"/>
            </w:pPr>
            <w:r>
              <w:rPr>
                <w:rStyle w:val="VerbatimChar"/>
              </w:rPr>
              <w:t xml:space="preserve">POST /api/recommendations/ideas</w:t>
            </w:r>
            <w:r>
              <w:t xml:space="preserve">; Idea Generator route</w:t>
            </w:r>
          </w:p>
        </w:tc>
        <w:tc>
          <w:tcPr/>
          <w:p>
            <w:pPr>
              <w:pStyle w:val="Compact"/>
              <w:jc w:val="left"/>
            </w:pPr>
            <w:r>
              <w:rPr>
                <w:rStyle w:val="VerbatimChar"/>
              </w:rPr>
              <w:t xml:space="preserve">test_idea_generator.py</w:t>
            </w:r>
            <w:r>
              <w:t xml:space="preserve">; frontend Idea Generator tests</w:t>
            </w:r>
          </w:p>
        </w:tc>
      </w:tr>
      <w:tr>
        <w:trPr>
          <w:cantSplit/>
        </w:trPr>
        <w:tc>
          <w:tcPr/>
          <w:p>
            <w:pPr>
              <w:pStyle w:val="Compact"/>
              <w:jc w:val="left"/>
            </w:pPr>
            <w:r>
              <w:t xml:space="preserve">UI-04</w:t>
            </w:r>
          </w:p>
        </w:tc>
        <w:tc>
          <w:tcPr/>
          <w:p>
            <w:pPr>
              <w:pStyle w:val="Compact"/>
              <w:jc w:val="left"/>
            </w:pPr>
            <w:r>
              <w:t xml:space="preserve">Topic/author relations expose source-derived qualification, aliases, evidence, related papers, and empty states</w:t>
            </w:r>
          </w:p>
        </w:tc>
        <w:tc>
          <w:tcPr/>
          <w:p>
            <w:pPr>
              <w:pStyle w:val="Compact"/>
              <w:jc w:val="left"/>
            </w:pPr>
            <w:r>
              <w:t xml:space="preserve">explorer overview/topic/author/related endpoints</w:t>
            </w:r>
          </w:p>
        </w:tc>
        <w:tc>
          <w:tcPr/>
          <w:p>
            <w:pPr>
              <w:pStyle w:val="Compact"/>
              <w:jc w:val="left"/>
            </w:pPr>
            <w:r>
              <w:rPr>
                <w:rStyle w:val="VerbatimChar"/>
              </w:rPr>
              <w:t xml:space="preserve">test_topic_explorer.py</w:t>
            </w:r>
            <w:r>
              <w:t xml:space="preserve">; explorer frontend tests</w:t>
            </w:r>
          </w:p>
        </w:tc>
      </w:tr>
      <w:tr>
        <w:trPr>
          <w:cantSplit/>
        </w:trPr>
        <w:tc>
          <w:tcPr/>
          <w:p>
            <w:pPr>
              <w:pStyle w:val="Compact"/>
              <w:jc w:val="left"/>
            </w:pPr>
            <w:r>
              <w:t xml:space="preserve">UI-05</w:t>
            </w:r>
          </w:p>
        </w:tc>
        <w:tc>
          <w:tcPr/>
          <w:p>
            <w:pPr>
              <w:pStyle w:val="Compact"/>
              <w:jc w:val="left"/>
            </w:pPr>
            <w:r>
              <w:t xml:space="preserve">Evaluation reports dataset/reviewer boundary and negative findings; missing artefact is</w:t>
            </w:r>
            <w:r>
              <w:t xml:space="preserve"> </w:t>
            </w:r>
            <w:r>
              <w:t xml:space="preserve">“</w:t>
            </w:r>
            <w:r>
              <w:t xml:space="preserve">not run</w:t>
            </w:r>
            <w:r>
              <w:t xml:space="preserve">”</w:t>
            </w:r>
            <w:r>
              <w:t xml:space="preserve"> </w:t>
            </w:r>
            <w:r>
              <w:t xml:space="preserve">rather than zero</w:t>
            </w:r>
          </w:p>
        </w:tc>
        <w:tc>
          <w:tcPr/>
          <w:p>
            <w:pPr>
              <w:pStyle w:val="Compact"/>
              <w:jc w:val="left"/>
            </w:pPr>
            <w:r>
              <w:rPr>
                <w:rStyle w:val="VerbatimChar"/>
              </w:rPr>
              <w:t xml:space="preserve">GET /api/evaluation/dashboard</w:t>
            </w:r>
            <w:r>
              <w:t xml:space="preserve">; Evaluation route</w:t>
            </w:r>
          </w:p>
        </w:tc>
        <w:tc>
          <w:tcPr/>
          <w:p>
            <w:pPr>
              <w:pStyle w:val="Compact"/>
              <w:jc w:val="left"/>
            </w:pPr>
            <w:r>
              <w:t xml:space="preserve">evaluation API tests; dashboard component assertions</w:t>
            </w:r>
          </w:p>
        </w:tc>
      </w:tr>
      <w:tr>
        <w:trPr>
          <w:cantSplit/>
        </w:trPr>
        <w:tc>
          <w:tcPr/>
          <w:p>
            <w:pPr>
              <w:pStyle w:val="Compact"/>
              <w:jc w:val="left"/>
            </w:pPr>
            <w:r>
              <w:t xml:space="preserve">UI-06</w:t>
            </w:r>
          </w:p>
        </w:tc>
        <w:tc>
          <w:tcPr/>
          <w:p>
            <w:pPr>
              <w:pStyle w:val="Compact"/>
              <w:jc w:val="left"/>
            </w:pPr>
            <w:r>
              <w:t xml:space="preserve">Anonymous users cannot access review queues/history/mutations; invalid/expired sessions, bearer actors, or CSRF values fail visibly</w:t>
            </w:r>
          </w:p>
        </w:tc>
        <w:tc>
          <w:tcPr/>
          <w:p>
            <w:pPr>
              <w:pStyle w:val="Compact"/>
              <w:jc w:val="left"/>
            </w:pPr>
            <w:r>
              <w:t xml:space="preserve">protected history and</w:t>
            </w:r>
            <w:r>
              <w:t xml:space="preserve"> </w:t>
            </w:r>
            <w:r>
              <w:rPr>
                <w:rStyle w:val="VerbatimChar"/>
              </w:rPr>
              <w:t xml:space="preserve">/api/admin/**</w:t>
            </w:r>
            <w:r>
              <w:t xml:space="preserve">; Admin Control login/session shell</w:t>
            </w:r>
          </w:p>
        </w:tc>
        <w:tc>
          <w:tcPr/>
          <w:p>
            <w:pPr>
              <w:pStyle w:val="Compact"/>
              <w:jc w:val="left"/>
            </w:pPr>
            <w:r>
              <w:rPr>
                <w:rStyle w:val="VerbatimChar"/>
              </w:rPr>
              <w:t xml:space="preserve">test_admin_auth_control.py</w:t>
            </w:r>
            <w:r>
              <w:t xml:space="preserve">; security/API-client tests</w:t>
            </w:r>
          </w:p>
        </w:tc>
      </w:tr>
      <w:tr>
        <w:trPr>
          <w:cantSplit/>
        </w:trPr>
        <w:tc>
          <w:tcPr/>
          <w:p>
            <w:pPr>
              <w:pStyle w:val="Compact"/>
              <w:jc w:val="left"/>
            </w:pPr>
            <w:r>
              <w:t xml:space="preserve">UI-07</w:t>
            </w:r>
          </w:p>
        </w:tc>
        <w:tc>
          <w:tcPr/>
          <w:p>
            <w:pPr>
              <w:pStyle w:val="Compact"/>
              <w:jc w:val="left"/>
            </w:pPr>
            <w:r>
              <w:t xml:space="preserve">Admin Control supports review, feature/model/account controls, preview-bound bulk/publication operations, and ingestion status</w:t>
            </w:r>
          </w:p>
        </w:tc>
        <w:tc>
          <w:tcPr/>
          <w:p>
            <w:pPr>
              <w:pStyle w:val="Compact"/>
              <w:jc w:val="left"/>
            </w:pPr>
            <w:r>
              <w:t xml:space="preserve">admin overview/control/queue/events endpoints; Admin Control route</w:t>
            </w:r>
          </w:p>
        </w:tc>
        <w:tc>
          <w:tcPr/>
          <w:p>
            <w:pPr>
              <w:pStyle w:val="Compact"/>
              <w:jc w:val="left"/>
            </w:pPr>
            <w:r>
              <w:t xml:space="preserve">admin-auth, bulk-approval, ingestion-sync, and component tests</w:t>
            </w:r>
          </w:p>
        </w:tc>
      </w:tr>
      <w:tr>
        <w:trPr>
          <w:cantSplit/>
        </w:trPr>
        <w:tc>
          <w:tcPr/>
          <w:p>
            <w:pPr>
              <w:pStyle w:val="Compact"/>
              <w:jc w:val="left"/>
            </w:pPr>
            <w:r>
              <w:t xml:space="preserve">UI-08</w:t>
            </w:r>
          </w:p>
        </w:tc>
        <w:tc>
          <w:tcPr/>
          <w:p>
            <w:pPr>
              <w:pStyle w:val="Compact"/>
              <w:jc w:val="left"/>
            </w:pPr>
            <w:r>
              <w:t xml:space="preserve">AI actors cannot issue human states; event rows cannot be updated/deleted; correction reopens review</w:t>
            </w:r>
          </w:p>
        </w:tc>
        <w:tc>
          <w:tcPr/>
          <w:p>
            <w:pPr>
              <w:pStyle w:val="Compact"/>
              <w:jc w:val="left"/>
            </w:pPr>
            <w:r>
              <w:t xml:space="preserve">admin review/correction endpoints and persistence layer</w:t>
            </w:r>
          </w:p>
        </w:tc>
        <w:tc>
          <w:tcPr/>
          <w:p>
            <w:pPr>
              <w:pStyle w:val="Compact"/>
              <w:jc w:val="left"/>
            </w:pPr>
            <w:r>
              <w:t xml:space="preserve">role, immutability, correction tests in</w:t>
            </w:r>
            <w:r>
              <w:t xml:space="preserve"> </w:t>
            </w:r>
            <w:r>
              <w:rPr>
                <w:rStyle w:val="VerbatimChar"/>
              </w:rPr>
              <w:t xml:space="preserve">test_security_privacy.py</w:t>
            </w:r>
          </w:p>
        </w:tc>
      </w:tr>
      <w:tr>
        <w:trPr>
          <w:cantSplit/>
        </w:trPr>
        <w:tc>
          <w:tcPr/>
          <w:p>
            <w:pPr>
              <w:pStyle w:val="Compact"/>
              <w:jc w:val="left"/>
            </w:pPr>
            <w:r>
              <w:t xml:space="preserve">UI-09</w:t>
            </w:r>
          </w:p>
        </w:tc>
        <w:tc>
          <w:tcPr/>
          <w:p>
            <w:pPr>
              <w:pStyle w:val="Compact"/>
              <w:jc w:val="left"/>
            </w:pPr>
            <w:r>
              <w:t xml:space="preserve">Public question/profile/conversation values are request-scoped and not written to history/log output</w:t>
            </w:r>
          </w:p>
        </w:tc>
        <w:tc>
          <w:tcPr/>
          <w:p>
            <w:pPr>
              <w:pStyle w:val="Compact"/>
              <w:jc w:val="left"/>
            </w:pPr>
            <w:r>
              <w:t xml:space="preserve">Ask/Finder/ideas transient endpoints; browser memory</w:t>
            </w:r>
          </w:p>
        </w:tc>
        <w:tc>
          <w:tcPr/>
          <w:p>
            <w:pPr>
              <w:pStyle w:val="Compact"/>
              <w:jc w:val="left"/>
            </w:pPr>
            <w:r>
              <w:t xml:space="preserve">non-persistence, Idea Generator, and redacted-log tests</w:t>
            </w:r>
          </w:p>
        </w:tc>
      </w:tr>
      <w:tr>
        <w:trPr>
          <w:cantSplit/>
        </w:trPr>
        <w:tc>
          <w:tcPr/>
          <w:p>
            <w:pPr>
              <w:pStyle w:val="Compact"/>
              <w:jc w:val="left"/>
            </w:pPr>
            <w:r>
              <w:t xml:space="preserve">UI-10</w:t>
            </w:r>
          </w:p>
        </w:tc>
        <w:tc>
          <w:tcPr/>
          <w:p>
            <w:pPr>
              <w:pStyle w:val="Compact"/>
              <w:jc w:val="left"/>
            </w:pPr>
            <w:r>
              <w:t xml:space="preserve">Keyboard/semantic labels, visible focus, reduced motion, table/chart alternatives, and responsive layouts remain testable</w:t>
            </w:r>
          </w:p>
        </w:tc>
        <w:tc>
          <w:tcPr/>
          <w:p>
            <w:pPr>
              <w:pStyle w:val="Compact"/>
              <w:jc w:val="left"/>
            </w:pPr>
            <w:r>
              <w:t xml:space="preserve">shared components and every primary route</w:t>
            </w:r>
          </w:p>
        </w:tc>
        <w:tc>
          <w:tcPr/>
          <w:p>
            <w:pPr>
              <w:pStyle w:val="Compact"/>
              <w:jc w:val="left"/>
            </w:pPr>
            <w:r>
              <w:t xml:space="preserve">component accessibility suite plus browser checks at 360, 768, 1024, and 1440 pixels</w:t>
            </w:r>
          </w:p>
        </w:tc>
      </w:tr>
    </w:tbl>
    <w:bookmarkEnd w:id="113"/>
    <w:p>
      <w:pPr>
        <w:pStyle w:val="BodyText"/>
      </w:pPr>
      <w:r>
        <w:t xml:space="preserve">This mapping clarifies the residual human boundary. Automated checks can detect a missing label, hidden focus, unauthorized status code, persistence regression, or absent warning. They cannot establish whether a student understands the distinction between inferred gap and paper-stated future work, whether a screen reader workflow is efficient, or whether a supervisor considers an extension feasible. Those outcomes belong to a later ethics-approved study and independent accessibility assessment.</w:t>
      </w:r>
    </w:p>
    <w:p>
      <w:pPr>
        <w:pStyle w:val="BodyText"/>
      </w:pPr>
      <w:r>
        <w:t xml:space="preserve">The requirement–API–test mapping remains the authoritative behavioural evidence.</w:t>
      </w:r>
      <w:r>
        <w:t xml:space="preserve"> </w:t>
      </w:r>
      <w:hyperlink w:anchor="fig:idea-generator-interface">
        <w:r>
          <w:rPr>
            <w:rStyle w:val="Hyperlink"/>
          </w:rPr>
          <w:t xml:space="preserve">Figure 8.4</w:t>
        </w:r>
      </w:hyperlink>
      <w:r>
        <w:t xml:space="preserve"> </w:t>
      </w:r>
      <w:r>
        <w:t xml:space="preserve">and</w:t>
      </w:r>
      <w:r>
        <w:t xml:space="preserve"> </w:t>
      </w:r>
      <w:hyperlink w:anchor="fig:admin-control-interface">
        <w:r>
          <w:rPr>
            <w:rStyle w:val="Hyperlink"/>
          </w:rPr>
          <w:t xml:space="preserve">Figure 8.5</w:t>
        </w:r>
      </w:hyperlink>
      <w:r>
        <w:t xml:space="preserve"> </w:t>
      </w:r>
      <w:r>
        <w:t xml:space="preserve">add two deterministic visual fixtures of the current interface contract. The Idea Generator fixture shows the conversational prompt, explicit transient-input notice, paper-informed/general distinction, citations, and model/provenance area. The Admin fixture shows authenticated Admin Control navigation and the preview-before-mutation operational boundary. Network responses contain synthetic fixture data and no real student profile, corpus passage, credentials, approval decision, or mutation. The capture manifest at</w:t>
      </w:r>
      <w:r>
        <w:t xml:space="preserve"> </w:t>
      </w:r>
      <w:r>
        <w:rPr>
          <w:rStyle w:val="VerbatimChar"/>
        </w:rPr>
        <w:t xml:space="preserve">thesis/figures/screenshots/governance-capture-manifest.json</w:t>
      </w:r>
      <w:r>
        <w:t xml:space="preserve"> </w:t>
      </w:r>
      <w:r>
        <w:t xml:space="preserve">records the product-source commit, viewport, scenario labels, screenshot hashes, and this evidential limitation.</w:t>
      </w:r>
    </w:p>
    <w:p>
      <w:pPr>
        <w:pStyle w:val="CaptionedFigure"/>
      </w:pPr>
      <w:r>
        <w:drawing>
          <wp:inline>
            <wp:extent cx="5537200" cy="8367952"/>
            <wp:effectExtent b="0" l="0" r="0" t="0"/>
            <wp:docPr descr="Figure 8.4. Deterministic Idea Generator fixture showing transient conversation and explicit paper-informed/general evidence boundaries. It demonstrates the visible implementation contract only; it is not live-model output, usability evidence, human review, novelty, or feasibility evidence." title="Figure 8.4." id="115" name="Picture"/>
            <a:graphic>
              <a:graphicData uri="http://schemas.openxmlformats.org/drawingml/2006/picture">
                <pic:pic>
                  <pic:nvPicPr>
                    <pic:cNvPr descr="figures/screenshots/idea-generator-current.png" id="116" name="Picture"/>
                    <pic:cNvPicPr>
                      <a:picLocks noChangeArrowheads="1" noChangeAspect="1"/>
                    </pic:cNvPicPr>
                  </pic:nvPicPr>
                  <pic:blipFill>
                    <a:blip r:embed="rId114"/>
                    <a:stretch>
                      <a:fillRect/>
                    </a:stretch>
                  </pic:blipFill>
                  <pic:spPr bwMode="auto">
                    <a:xfrm>
                      <a:off x="0" y="0"/>
                      <a:ext cx="5537200" cy="8367952"/>
                    </a:xfrm>
                    <a:prstGeom prst="rect">
                      <a:avLst/>
                    </a:prstGeom>
                    <a:noFill/>
                    <a:ln w="9525">
                      <a:noFill/>
                      <a:headEnd/>
                      <a:tailEnd/>
                    </a:ln>
                  </pic:spPr>
                </pic:pic>
              </a:graphicData>
            </a:graphic>
          </wp:inline>
        </w:drawing>
      </w:r>
    </w:p>
    <w:p>
      <w:pPr>
        <w:pStyle w:val="ImageCaption"/>
      </w:pPr>
      <w:r>
        <w:t xml:space="preserve">Figure 8.4. Deterministic Idea Generator fixture showing transient conversation and explicit paper-informed/general evidence boundaries. It demonstrates the visible implementation contract only; it is not live-model output, usability evidence, human review, novelty, or feasibility evidence.</w:t>
      </w:r>
    </w:p>
    <w:p>
      <w:pPr>
        <w:pStyle w:val="CaptionedFigure"/>
      </w:pPr>
      <w:r>
        <w:drawing>
          <wp:inline>
            <wp:extent cx="5537200" cy="4505673"/>
            <wp:effectExtent b="0" l="0" r="0" t="0"/>
            <wp:docPr descr="Figure 8.5. Deterministic authenticated Admin Control fixture showing operational status and preview-bound actions. It is not accessibility conformance, human approval, security certification, ethics approval, or a document-rights decision." title="Figure 8.5." id="118" name="Picture"/>
            <a:graphic>
              <a:graphicData uri="http://schemas.openxmlformats.org/drawingml/2006/picture">
                <pic:pic>
                  <pic:nvPicPr>
                    <pic:cNvPr descr="figures/screenshots/admin-control-current.png" id="119" name="Picture"/>
                    <pic:cNvPicPr>
                      <a:picLocks noChangeArrowheads="1" noChangeAspect="1"/>
                    </pic:cNvPicPr>
                  </pic:nvPicPr>
                  <pic:blipFill>
                    <a:blip r:embed="rId117"/>
                    <a:stretch>
                      <a:fillRect/>
                    </a:stretch>
                  </pic:blipFill>
                  <pic:spPr bwMode="auto">
                    <a:xfrm>
                      <a:off x="0" y="0"/>
                      <a:ext cx="5537200" cy="4505673"/>
                    </a:xfrm>
                    <a:prstGeom prst="rect">
                      <a:avLst/>
                    </a:prstGeom>
                    <a:noFill/>
                    <a:ln w="9525">
                      <a:noFill/>
                      <a:headEnd/>
                      <a:tailEnd/>
                    </a:ln>
                  </pic:spPr>
                </pic:pic>
              </a:graphicData>
            </a:graphic>
          </wp:inline>
        </w:drawing>
      </w:r>
    </w:p>
    <w:p>
      <w:pPr>
        <w:pStyle w:val="ImageCaption"/>
      </w:pPr>
      <w:r>
        <w:t xml:space="preserve">Figure 8.5. Deterministic authenticated Admin Control fixture showing operational status and preview-bound actions. It is not accessibility conformance, human approval, security certification, ethics approval, or a document-rights decision.</w:t>
      </w:r>
    </w:p>
    <w:p>
      <w:pPr>
        <w:pStyle w:val="BodyText"/>
      </w:pPr>
      <w:r>
        <w:t xml:space="preserve">The screenshots are therefore illustrative implementation evidence, not substitutes for the route, failure-state, and assistive-technology checks. The executable contracts in Appendix </w:t>
      </w:r>
      <w:hyperlink w:anchor="app:schema-api">
        <w:r>
          <w:rPr>
            <w:rStyle w:val="Hyperlink"/>
          </w:rPr>
          <w:t xml:space="preserve">C</w:t>
        </w:r>
      </w:hyperlink>
      <w:r>
        <w:t xml:space="preserve"> </w:t>
      </w:r>
      <w:r>
        <w:t xml:space="preserve">keep those distinctions inspectable.</w:t>
      </w:r>
    </w:p>
    <w:bookmarkEnd w:id="120"/>
    <w:bookmarkStart w:id="121" w:name="X8ee397b8226ff6bca3abc4c2b62690d3e91c5b1"/>
    <w:p>
      <w:pPr>
        <w:pStyle w:val="Heading2"/>
      </w:pPr>
      <w:r>
        <w:rPr>
          <w:rStyle w:val="SectionNumber"/>
        </w:rPr>
        <w:t xml:space="preserve">8.9</w:t>
      </w:r>
      <w:r>
        <w:tab/>
      </w:r>
      <w:r>
        <w:t xml:space="preserve">Generated-output governance and deployment boundary</w:t>
      </w:r>
    </w:p>
    <w:p>
      <w:pPr>
        <w:pStyle w:val="FirstParagraph"/>
      </w:pPr>
      <w:r>
        <w:t xml:space="preserve">Admin mutations require authenticated roles and CSRF for session actors; production fails closed without HTTPS and an admin actor, and AI actors cannot issue human states. Bulk review and publication first persist an actor-bound preview hash with a ten-minute expiry; execution recomputes the candidate state and returns conflict rather than apply a stale preview. Catch-all review still excludes missing-PDF records. A process-local primitive lock safely spans FastAPI worker-thread handoff, while a database-scoped no-follow file lock serializes review-event mutation/hash/commit across local processes. Neither is distributed consensus. The dedicated sync worker can stage and process scheduled candidates, but whole-corpus atomic promotion remains fail-closed. TLS termination, institutional identity, distributed limiting, monitoring, backup, and incident operations remain deployment responsibilities.</w:t>
      </w:r>
    </w:p>
    <w:bookmarkEnd w:id="121"/>
    <w:bookmarkEnd w:id="122"/>
    <w:bookmarkStart w:id="134" w:name="ch:experiments"/>
    <w:p>
      <w:pPr>
        <w:pStyle w:val="Heading1"/>
      </w:pPr>
      <w:r>
        <w:rPr>
          <w:rStyle w:val="SectionNumber"/>
        </w:rPr>
        <w:t xml:space="preserve">9</w:t>
      </w:r>
      <w:r>
        <w:tab/>
      </w:r>
      <w:r>
        <w:t xml:space="preserve">Experimental Design</w:t>
      </w:r>
    </w:p>
    <w:bookmarkStart w:id="126" w:name="overview"/>
    <w:p>
      <w:pPr>
        <w:pStyle w:val="Heading2"/>
      </w:pPr>
      <w:r>
        <w:rPr>
          <w:rStyle w:val="SectionNumber"/>
        </w:rPr>
        <w:t xml:space="preserve">9.1</w:t>
      </w:r>
      <w:r>
        <w:tab/>
      </w:r>
      <w:r>
        <w:t xml:space="preserve">Overview</w:t>
      </w:r>
    </w:p>
    <w:p>
      <w:pPr>
        <w:pStyle w:val="FirstParagraph"/>
      </w:pPr>
      <w:hyperlink w:anchor="fig:evaluation-workflow">
        <w:r>
          <w:rPr>
            <w:rStyle w:val="Hyperlink"/>
          </w:rPr>
          <w:t xml:space="preserve">Figure 9.1</w:t>
        </w:r>
      </w:hyperlink>
      <w:r>
        <w:t xml:space="preserve"> </w:t>
      </w:r>
      <w:r>
        <w:t xml:space="preserve">separates evaluation evidence into offline quality, engineering verification, and external-only validation. It also distinguishes immutable historical v1 diagnosis from the prospective remediation protocol. All datasets store schemas, source/rationale fields, reviewer type, timestamps, review passes, and hashes. Raw full-text prompts and outputs remain local when redistribution would expose third-party passages; sanitized structural records, labels, aggregates, and hashes remain in the release.</w:t>
      </w:r>
    </w:p>
    <w:p>
      <w:pPr>
        <w:pStyle w:val="CaptionedFigure"/>
      </w:pPr>
      <w:r>
        <w:drawing>
          <wp:inline>
            <wp:extent cx="5315712" cy="3109691"/>
            <wp:effectExtent b="0" l="0" r="0" t="0"/>
            <wp:docPr descr="Figure 9.1. Evaluation workflow. Historical diagnosis and prospective AI-reviewed silver evidence are versioned separately from external human or institutional validation." title="Figure 9.1." id="124" name="Picture"/>
            <a:graphic>
              <a:graphicData uri="http://schemas.openxmlformats.org/drawingml/2006/picture">
                <pic:pic>
                  <pic:nvPicPr>
                    <pic:cNvPr descr="word-assets/evaluation_workflow.png" id="125" name="Picture"/>
                    <pic:cNvPicPr>
                      <a:picLocks noChangeArrowheads="1" noChangeAspect="1"/>
                    </pic:cNvPicPr>
                  </pic:nvPicPr>
                  <pic:blipFill>
                    <a:blip r:embed="rId123"/>
                    <a:stretch>
                      <a:fillRect/>
                    </a:stretch>
                  </pic:blipFill>
                  <pic:spPr bwMode="auto">
                    <a:xfrm>
                      <a:off x="0" y="0"/>
                      <a:ext cx="5315712" cy="3109691"/>
                    </a:xfrm>
                    <a:prstGeom prst="rect">
                      <a:avLst/>
                    </a:prstGeom>
                    <a:noFill/>
                    <a:ln w="9525">
                      <a:noFill/>
                      <a:headEnd/>
                      <a:tailEnd/>
                    </a:ln>
                  </pic:spPr>
                </pic:pic>
              </a:graphicData>
            </a:graphic>
          </wp:inline>
        </w:drawing>
      </w:r>
    </w:p>
    <w:p>
      <w:pPr>
        <w:pStyle w:val="ImageCaption"/>
      </w:pPr>
      <w:r>
        <w:t xml:space="preserve">Figure 9.1. Evaluation workflow. Historical diagnosis and prospective AI-reviewed silver evidence are versioned separately from external human or institutional validation.</w:t>
      </w:r>
    </w:p>
    <w:bookmarkEnd w:id="126"/>
    <w:bookmarkStart w:id="128" w:name="experiment-inventory"/>
    <w:p>
      <w:pPr>
        <w:pStyle w:val="Heading2"/>
      </w:pPr>
      <w:r>
        <w:rPr>
          <w:rStyle w:val="SectionNumber"/>
        </w:rPr>
        <w:t xml:space="preserve">9.2</w:t>
      </w:r>
      <w:r>
        <w:tab/>
      </w:r>
      <w:r>
        <w:t xml:space="preserve">Experiment inventory</w:t>
      </w:r>
    </w:p>
    <w:p>
      <w:pPr>
        <w:pStyle w:val="FirstParagraph"/>
      </w:pPr>
      <w:hyperlink w:anchor="tab:experiment-inventory">
        <w:r>
          <w:rPr>
            <w:rStyle w:val="Hyperlink"/>
          </w:rPr>
          <w:t xml:space="preserve">Table 9.1</w:t>
        </w:r>
      </w:hyperlink>
      <w:r>
        <w:t xml:space="preserve"> </w:t>
      </w:r>
      <w:r>
        <w:t xml:space="preserve">lists the historical experiment families. The prospective protocol adds 12 selective-QA cases, 5 paired Finder profiles, 8 known-positive topic cases, and one deterministic OCR fixture. Its declared evidence tier is AI-silver, scope technical only, and public-projection execution no; thus it does not establish public behavior, human validation, or entailment.</w:t>
      </w:r>
    </w:p>
    <w:bookmarkStart w:id="127" w:name="tab:experiment-inventory"/>
    <w:p>
      <w:pPr>
        <w:pStyle w:val="TableCaption"/>
      </w:pPr>
      <w:r>
        <w:t xml:space="preserve">Table 9.1. Historical v1 experiments, units, and primary outcomes.</w:t>
      </w:r>
    </w:p>
    <w:tbl>
      <w:tblPr>
        <w:tblStyle w:val="Table"/>
        <w:tblW w:type="auto" w:w="0"/>
        <w:tblLook w:firstRow="1" w:lastRow="0" w:firstColumn="0" w:lastColumn="0" w:noHBand="0" w:noVBand="0" w:val="0020"/>
        <w:jc w:val="start"/>
        <w:tblCaption w:val="Table 9.1. Historical v1 experiments, units, and primary outcomes."/>
      </w:tblPr>
      <w:tblGrid>
        <w:gridCol w:w="1980"/>
        <w:gridCol w:w="1980"/>
        <w:gridCol w:w="1980"/>
        <w:gridCol w:w="1980"/>
      </w:tblGrid>
      <w:tr>
        <w:trPr>
          <w:tblHeader w:val="true"/>
          <w:cantSplit/>
        </w:trPr>
        <w:tc>
          <w:tcPr/>
          <w:p>
            <w:pPr>
              <w:pStyle w:val="Compact"/>
              <w:jc w:val="left"/>
            </w:pPr>
            <w:r>
              <w:t xml:space="preserve">Experiment</w:t>
            </w:r>
          </w:p>
        </w:tc>
        <w:tc>
          <w:tcPr/>
          <w:p>
            <w:pPr>
              <w:pStyle w:val="Compact"/>
              <w:jc w:val="left"/>
            </w:pPr>
            <w:r>
              <w:t xml:space="preserve">Cases/unit</w:t>
            </w:r>
          </w:p>
        </w:tc>
        <w:tc>
          <w:tcPr/>
          <w:p>
            <w:pPr>
              <w:pStyle w:val="Compact"/>
              <w:jc w:val="left"/>
            </w:pPr>
            <w:r>
              <w:t xml:space="preserve">Comparison</w:t>
            </w:r>
          </w:p>
        </w:tc>
        <w:tc>
          <w:tcPr/>
          <w:p>
            <w:pPr>
              <w:pStyle w:val="Compact"/>
              <w:jc w:val="left"/>
            </w:pPr>
            <w:r>
              <w:t xml:space="preserve">Primary outcomes</w:t>
            </w:r>
          </w:p>
        </w:tc>
      </w:tr>
      <w:tr>
        <w:trPr>
          <w:cantSplit/>
        </w:trPr>
        <w:tc>
          <w:tcPr/>
          <w:p>
            <w:pPr>
              <w:pStyle w:val="Compact"/>
              <w:jc w:val="left"/>
            </w:pPr>
            <w:r>
              <w:t xml:space="preserve">Section quality</w:t>
            </w:r>
          </w:p>
        </w:tc>
        <w:tc>
          <w:tcPr/>
          <w:p>
            <w:pPr>
              <w:pStyle w:val="Compact"/>
              <w:jc w:val="left"/>
            </w:pPr>
            <w:r>
              <w:t xml:space="preserve">40 chunks</w:t>
            </w:r>
          </w:p>
        </w:tc>
        <w:tc>
          <w:tcPr/>
          <w:p>
            <w:pPr>
              <w:pStyle w:val="Compact"/>
              <w:jc w:val="left"/>
            </w:pPr>
            <w:r>
              <w:t xml:space="preserve">predicted versus AI-silver section</w:t>
            </w:r>
          </w:p>
        </w:tc>
        <w:tc>
          <w:tcPr/>
          <w:p>
            <w:pPr>
              <w:pStyle w:val="Compact"/>
              <w:jc w:val="left"/>
            </w:pPr>
            <w:r>
              <w:t xml:space="preserve">accuracy, coverage, macro precision/recall</w:t>
            </w:r>
          </w:p>
        </w:tc>
      </w:tr>
      <w:tr>
        <w:trPr>
          <w:cantSplit/>
        </w:trPr>
        <w:tc>
          <w:tcPr/>
          <w:p>
            <w:pPr>
              <w:pStyle w:val="Compact"/>
              <w:jc w:val="left"/>
            </w:pPr>
            <w:r>
              <w:t xml:space="preserve">Retrieval</w:t>
            </w:r>
          </w:p>
        </w:tc>
        <w:tc>
          <w:tcPr/>
          <w:p>
            <w:pPr>
              <w:pStyle w:val="Compact"/>
              <w:jc w:val="left"/>
            </w:pPr>
            <w:r>
              <w:t xml:space="preserve">50 questions (30 dev/20 test)</w:t>
            </w:r>
          </w:p>
        </w:tc>
        <w:tc>
          <w:tcPr/>
          <w:p>
            <w:pPr>
              <w:pStyle w:val="Compact"/>
              <w:jc w:val="left"/>
            </w:pPr>
            <w:r>
              <w:t xml:space="preserve">keyword, hashing, dense, heuristic/tuned hybrid</w:t>
            </w:r>
          </w:p>
        </w:tc>
        <w:tc>
          <w:tcPr/>
          <w:p>
            <w:pPr>
              <w:pStyle w:val="Compact"/>
              <w:jc w:val="left"/>
            </w:pPr>
            <w:r>
              <w:t xml:space="preserve">set Recall, Hit, Precision, MRR, nDCG, abstention, paired tests</w:t>
            </w:r>
          </w:p>
        </w:tc>
      </w:tr>
      <w:tr>
        <w:trPr>
          <w:cantSplit/>
        </w:trPr>
        <w:tc>
          <w:tcPr/>
          <w:p>
            <w:pPr>
              <w:pStyle w:val="Compact"/>
              <w:jc w:val="left"/>
            </w:pPr>
            <w:r>
              <w:t xml:space="preserve">QA</w:t>
            </w:r>
          </w:p>
        </w:tc>
        <w:tc>
          <w:tcPr/>
          <w:p>
            <w:pPr>
              <w:pStyle w:val="Compact"/>
              <w:jc w:val="left"/>
            </w:pPr>
            <w:r>
              <w:t xml:space="preserve">50 cases; 334 claims; 81 points</w:t>
            </w:r>
          </w:p>
        </w:tc>
        <w:tc>
          <w:tcPr/>
          <w:p>
            <w:pPr>
              <w:pStyle w:val="Compact"/>
              <w:jc w:val="left"/>
            </w:pPr>
            <w:r>
              <w:t xml:space="preserve">offline extractive outputs against source evidence</w:t>
            </w:r>
          </w:p>
        </w:tc>
        <w:tc>
          <w:tcPr/>
          <w:p>
            <w:pPr>
              <w:pStyle w:val="Compact"/>
              <w:jc w:val="left"/>
            </w:pPr>
            <w:r>
              <w:t xml:space="preserve">claim support, citation correctness/completeness, point coverage, abstention</w:t>
            </w:r>
          </w:p>
        </w:tc>
      </w:tr>
      <w:tr>
        <w:trPr>
          <w:cantSplit/>
        </w:trPr>
        <w:tc>
          <w:tcPr/>
          <w:p>
            <w:pPr>
              <w:pStyle w:val="Compact"/>
              <w:jc w:val="left"/>
            </w:pPr>
            <w:r>
              <w:t xml:space="preserve">Recommendation</w:t>
            </w:r>
          </w:p>
        </w:tc>
        <w:tc>
          <w:tcPr/>
          <w:p>
            <w:pPr>
              <w:pStyle w:val="Compact"/>
              <w:jc w:val="left"/>
            </w:pPr>
            <w:r>
              <w:t xml:space="preserve">28 profiles; 84 requested ranks/arm</w:t>
            </w:r>
          </w:p>
        </w:tc>
        <w:tc>
          <w:tcPr/>
          <w:p>
            <w:pPr>
              <w:pStyle w:val="Compact"/>
              <w:jc w:val="left"/>
            </w:pPr>
            <w:r>
              <w:t xml:space="preserve">evidence-only (84 returned) versus full finder (67 returned)</w:t>
            </w:r>
          </w:p>
        </w:tc>
        <w:tc>
          <w:tcPr/>
          <w:p>
            <w:pPr>
              <w:pStyle w:val="Compact"/>
              <w:jc w:val="left"/>
            </w:pPr>
            <w:r>
              <w:t xml:space="preserve">zero-filled top-</w:t>
            </w:r>
            <m:oMath>
              <m:r>
                <m:t>k</m:t>
              </m:r>
            </m:oMath>
            <w:r>
              <w:t xml:space="preserve"> </w:t>
            </w:r>
            <w:r>
              <w:t xml:space="preserve">relevance, source/claim boundaries, feasibility, scope, risk, sensitivity</w:t>
            </w:r>
          </w:p>
        </w:tc>
      </w:tr>
      <w:tr>
        <w:trPr>
          <w:cantSplit/>
        </w:trPr>
        <w:tc>
          <w:tcPr/>
          <w:p>
            <w:pPr>
              <w:pStyle w:val="Compact"/>
              <w:jc w:val="left"/>
            </w:pPr>
            <w:r>
              <w:t xml:space="preserve">Topics</w:t>
            </w:r>
          </w:p>
        </w:tc>
        <w:tc>
          <w:tcPr/>
          <w:p>
            <w:pPr>
              <w:pStyle w:val="Compact"/>
              <w:jc w:val="left"/>
            </w:pPr>
            <w:r>
              <w:t xml:space="preserve">60 papers (36 dev/24 test)</w:t>
            </w:r>
          </w:p>
        </w:tc>
        <w:tc>
          <w:tcPr/>
          <w:p>
            <w:pPr>
              <w:pStyle w:val="Compact"/>
              <w:jc w:val="left"/>
            </w:pPr>
            <w:r>
              <w:t xml:space="preserve">controlled lexical versus dense prototype</w:t>
            </w:r>
          </w:p>
        </w:tc>
        <w:tc>
          <w:tcPr/>
          <w:p>
            <w:pPr>
              <w:pStyle w:val="Compact"/>
              <w:jc w:val="left"/>
            </w:pPr>
            <w:r>
              <w:t xml:space="preserve">multi-label precision, recall, F1, coverage</w:t>
            </w:r>
          </w:p>
        </w:tc>
      </w:tr>
      <w:tr>
        <w:trPr>
          <w:cantSplit/>
        </w:trPr>
        <w:tc>
          <w:tcPr/>
          <w:p>
            <w:pPr>
              <w:pStyle w:val="Compact"/>
              <w:jc w:val="left"/>
            </w:pPr>
            <w:r>
              <w:t xml:space="preserve">Author identity</w:t>
            </w:r>
          </w:p>
        </w:tc>
        <w:tc>
          <w:tcPr/>
          <w:p>
            <w:pPr>
              <w:pStyle w:val="Compact"/>
              <w:jc w:val="left"/>
            </w:pPr>
            <w:r>
              <w:t xml:space="preserve">136 rows</w:t>
            </w:r>
          </w:p>
        </w:tc>
        <w:tc>
          <w:tcPr/>
          <w:p>
            <w:pPr>
              <w:pStyle w:val="Compact"/>
              <w:jc w:val="left"/>
            </w:pPr>
            <w:r>
              <w:t xml:space="preserve">schema/source invariants</w:t>
            </w:r>
          </w:p>
        </w:tc>
        <w:tc>
          <w:tcPr/>
          <w:p>
            <w:pPr>
              <w:pStyle w:val="Compact"/>
              <w:jc w:val="left"/>
            </w:pPr>
            <w:r>
              <w:t xml:space="preserve">leakage, collisions, mismatches, overclaims, unresolved candidates</w:t>
            </w:r>
          </w:p>
        </w:tc>
      </w:tr>
      <w:tr>
        <w:trPr>
          <w:cantSplit/>
        </w:trPr>
        <w:tc>
          <w:tcPr/>
          <w:p>
            <w:pPr>
              <w:pStyle w:val="Compact"/>
              <w:jc w:val="left"/>
            </w:pPr>
            <w:r>
              <w:t xml:space="preserve">Generated outputs</w:t>
            </w:r>
          </w:p>
        </w:tc>
        <w:tc>
          <w:tcPr/>
          <w:p>
            <w:pPr>
              <w:pStyle w:val="Compact"/>
              <w:jc w:val="left"/>
            </w:pPr>
            <w:r>
              <w:t xml:space="preserve">48 stored records</w:t>
            </w:r>
          </w:p>
        </w:tc>
        <w:tc>
          <w:tcPr/>
          <w:p>
            <w:pPr>
              <w:pStyle w:val="Compact"/>
              <w:jc w:val="left"/>
            </w:pPr>
            <w:r>
              <w:t xml:space="preserve">review pass one versus idempotence pass</w:t>
            </w:r>
          </w:p>
        </w:tc>
        <w:tc>
          <w:tcPr/>
          <w:p>
            <w:pPr>
              <w:pStyle w:val="Compact"/>
              <w:jc w:val="left"/>
            </w:pPr>
            <w:r>
              <w:t xml:space="preserve">status/correction/event integrity</w:t>
            </w:r>
          </w:p>
        </w:tc>
      </w:tr>
      <w:tr>
        <w:trPr>
          <w:cantSplit/>
        </w:trPr>
        <w:tc>
          <w:tcPr/>
          <w:p>
            <w:pPr>
              <w:pStyle w:val="Compact"/>
              <w:jc w:val="left"/>
            </w:pPr>
            <w:r>
              <w:t xml:space="preserve">Performance</w:t>
            </w:r>
          </w:p>
        </w:tc>
        <w:tc>
          <w:tcPr/>
          <w:p>
            <w:pPr>
              <w:pStyle w:val="Compact"/>
              <w:jc w:val="left"/>
            </w:pPr>
            <w:r>
              <w:t xml:space="preserve">full-corpus workloads</w:t>
            </w:r>
          </w:p>
        </w:tc>
        <w:tc>
          <w:tcPr/>
          <w:p>
            <w:pPr>
              <w:pStyle w:val="Compact"/>
              <w:jc w:val="left"/>
            </w:pPr>
            <w:r>
              <w:t xml:space="preserve">process-cold versus warm</w:t>
            </w:r>
          </w:p>
        </w:tc>
        <w:tc>
          <w:tcPr/>
          <w:p>
            <w:pPr>
              <w:pStyle w:val="Compact"/>
              <w:jc w:val="left"/>
            </w:pPr>
            <w:r>
              <w:t xml:space="preserve">median, p95, RSS, failures, units</w:t>
            </w:r>
          </w:p>
        </w:tc>
      </w:tr>
      <w:tr>
        <w:trPr>
          <w:cantSplit/>
        </w:trPr>
        <w:tc>
          <w:tcPr/>
          <w:p>
            <w:pPr>
              <w:pStyle w:val="Compact"/>
              <w:jc w:val="left"/>
            </w:pPr>
            <w:r>
              <w:t xml:space="preserve">External sanity</w:t>
            </w:r>
          </w:p>
        </w:tc>
        <w:tc>
          <w:tcPr/>
          <w:p>
            <w:pPr>
              <w:pStyle w:val="Compact"/>
              <w:jc w:val="left"/>
            </w:pPr>
            <w:r>
              <w:t xml:space="preserve">3 CC BY papers</w:t>
            </w:r>
          </w:p>
        </w:tc>
        <w:tc>
          <w:tcPr/>
          <w:p>
            <w:pPr>
              <w:pStyle w:val="Compact"/>
              <w:jc w:val="left"/>
            </w:pPr>
            <w:r>
              <w:t xml:space="preserve">fixed lexical discriminators</w:t>
            </w:r>
          </w:p>
        </w:tc>
        <w:tc>
          <w:tcPr/>
          <w:p>
            <w:pPr>
              <w:pStyle w:val="Compact"/>
              <w:jc w:val="left"/>
            </w:pPr>
            <w:r>
              <w:t xml:space="preserve">acquisition/license validation, top-1 format smoke result</w:t>
            </w:r>
          </w:p>
        </w:tc>
      </w:tr>
    </w:tbl>
    <w:bookmarkEnd w:id="127"/>
    <w:bookmarkEnd w:id="128"/>
    <w:bookmarkStart w:id="129" w:name="retrieval-configuration"/>
    <w:p>
      <w:pPr>
        <w:pStyle w:val="Heading2"/>
      </w:pPr>
      <w:r>
        <w:rPr>
          <w:rStyle w:val="SectionNumber"/>
        </w:rPr>
        <w:t xml:space="preserve">9.3</w:t>
      </w:r>
      <w:r>
        <w:tab/>
      </w:r>
      <w:r>
        <w:t xml:space="preserve">Retrieval configuration</w:t>
      </w:r>
    </w:p>
    <w:p>
      <w:pPr>
        <w:pStyle w:val="FirstParagraph"/>
      </w:pPr>
      <w:r>
        <w:t xml:space="preserve">The retrieval dataset contains all eleven specified strata, including four out-of-corpus cases overall. The deterministic split assigns 30 cases to development and 20 to test; the held-out set contains 19 answerable and 1 unanswerable case. All methods use the</w:t>
      </w:r>
      <w:r>
        <w:t xml:space="preserve"> </w:t>
      </w:r>
      <w:r>
        <w:rPr>
          <w:rStyle w:val="VerbatimChar"/>
        </w:rPr>
        <w:t xml:space="preserve">corpus-f4638c633bea82b0</w:t>
      </w:r>
      <w:r>
        <w:t xml:space="preserve"> </w:t>
      </w:r>
      <w:r>
        <w:t xml:space="preserve">corpus, top 150 chunks per component for frozen candidate pools, a top-50 chunk depth, and top ten unique papers. Unjudged papers count as non-relevant.</w:t>
      </w:r>
    </w:p>
    <w:p>
      <w:pPr>
        <w:pStyle w:val="BodyText"/>
      </w:pPr>
      <w:r>
        <w:t xml:space="preserve">Development tuning searched nine keyword/dense weight pairs from 0.10/0.80 to 0.80/0.10, with a 0.42/0.48 implementation reference. The objective was development MRR with fixed secondary rules. The selected tuned configuration used keyword 0.10, dense 0.80, and all heuristic adjustments enabled. Sensitivity tested nearby 0.05/0.85, 0.15/0.75, 0.20/0.70, and 0.30/0.60 weights. Individual ablations removed one component from the selected hybrid; cumulative ablations added components in the documented order.</w:t>
      </w:r>
    </w:p>
    <w:bookmarkEnd w:id="129"/>
    <w:bookmarkStart w:id="130" w:name="historical-v1-qa-review-procedure"/>
    <w:p>
      <w:pPr>
        <w:pStyle w:val="Heading2"/>
      </w:pPr>
      <w:r>
        <w:rPr>
          <w:rStyle w:val="SectionNumber"/>
        </w:rPr>
        <w:t xml:space="preserve">9.4</w:t>
      </w:r>
      <w:r>
        <w:tab/>
      </w:r>
      <w:r>
        <w:t xml:space="preserve">Historical v1 QA review procedure</w:t>
      </w:r>
    </w:p>
    <w:p>
      <w:pPr>
        <w:pStyle w:val="FirstParagraph"/>
      </w:pPr>
      <w:r>
        <w:t xml:space="preserve">The historical offline extractive evaluation contained 50 reviewed cases: the answerer returned 49 responses and 1 abstention. Each atomic corpus claim was linked to inline source IDs and returned citation records. The AI reviewer performed a support-first creation pass and a shuffled contradiction-focused verification pass; the verification label was final, with disagreements retained. The metrics use strict treatment of partial labels. Confidence intervals resample whole QA cases 10,000 times, preserving within-case claim correlation. They do not include AI-label uncertainty.</w:t>
      </w:r>
    </w:p>
    <w:p>
      <w:pPr>
        <w:pStyle w:val="BodyText"/>
      </w:pPr>
      <w:r>
        <w:t xml:space="preserve">An Ollama comparison was attempted at the configured local endpoint on port 11434 during the frozen historical evaluation. CLI version 0.21.2 was present, but version, tags, and process endpoints refused connections. No installed model, digest, quantisation, response, or latency could be verified, so that comparison is reported as unavailable rather than approximated. The subsequently implemented Idea Generator is therefore outside the frozen QA/Finder result sets.</w:t>
      </w:r>
    </w:p>
    <w:bookmarkEnd w:id="130"/>
    <w:bookmarkStart w:id="131" w:name="X16c8dc7dff2a9d9bdf739a33903b1e243cdd45b"/>
    <w:p>
      <w:pPr>
        <w:pStyle w:val="Heading2"/>
      </w:pPr>
      <w:r>
        <w:rPr>
          <w:rStyle w:val="SectionNumber"/>
        </w:rPr>
        <w:t xml:space="preserve">9.5</w:t>
      </w:r>
      <w:r>
        <w:tab/>
      </w:r>
      <w:r>
        <w:t xml:space="preserve">Post-evaluation Idea Generator verification boundary</w:t>
      </w:r>
    </w:p>
    <w:p>
      <w:pPr>
        <w:pStyle w:val="FirstParagraph"/>
      </w:pPr>
      <w:r>
        <w:t xml:space="preserve">The Idea Generator adds an engineering-verification layer rather than a new scientific experiment. Four source-derived formative cases cover a RAG-oriented request, an agriculture-oriented request, an out-of-corpus request, and a multi-turn scope refinement. They were created to exercise request/schema, source-alias, paper-match, and conversation contracts; they are not gold recommendations, student ratings, or held-out evidence of usefulness. Backend tests stub the local provider to verify retrieval depth, answerability gating, alias rejection, paper-informed/general classification, provenance, digest-drift failure, structured-output repair, and retryable errors. Frontend tests verify transient conversation, citations, warnings, provider metadata, offline states, and retry. A future effectiveness protocol must freeze new cases before model/prompt selection and obtain appropriately authorised independent human judgments.</w:t>
      </w:r>
    </w:p>
    <w:bookmarkEnd w:id="131"/>
    <w:bookmarkStart w:id="132" w:name="X127a3c8bb4f0923334ceee9aceccac1d2524a71"/>
    <w:p>
      <w:pPr>
        <w:pStyle w:val="Heading2"/>
      </w:pPr>
      <w:r>
        <w:rPr>
          <w:rStyle w:val="SectionNumber"/>
        </w:rPr>
        <w:t xml:space="preserve">9.6</w:t>
      </w:r>
      <w:r>
        <w:tab/>
      </w:r>
      <w:r>
        <w:t xml:space="preserve">Historical v1 recommendation, topic, and review protocols</w:t>
      </w:r>
    </w:p>
    <w:p>
      <w:pPr>
        <w:pStyle w:val="FirstParagraph"/>
      </w:pPr>
      <w:r>
        <w:t xml:space="preserve">The 28 synthetic profiles span one-month, two-week, and semester timelines; software, ML, analysis, dashboard, literature-support, and other project types; public/synthetic/no-external/supervisor data constraints; easy/medium/hard preferences; and avoid topics. Each arm requested three ranks, for 84 slots. The evidence-only arm returned 84, whereas safe filtering left the full Finder with 67 returned items and 17 unfilled slots; paired top-</w:t>
      </w:r>
      <m:oMath>
        <m:r>
          <m:t>k</m:t>
        </m:r>
      </m:oMath>
      <w:r>
        <w:t xml:space="preserve"> </w:t>
      </w:r>
      <w:r>
        <w:t xml:space="preserve">relevance assigns zero to every missing slot rather than evaluating only emitted recommendations. Review criteria are conditional on returned items and were applied in two shuffled AI passes. The paired relevance contrast and sensitivity results resample profiles, not individual recommendations.</w:t>
      </w:r>
    </w:p>
    <w:p>
      <w:pPr>
        <w:pStyle w:val="BodyText"/>
      </w:pPr>
      <w:r>
        <w:t xml:space="preserve">The topic dataset contains 36 development and 24 test papers, covers all controlled labels across the full dataset, includes 51 multi-label cases and four</w:t>
      </w:r>
      <w:r>
        <w:t xml:space="preserve"> </w:t>
      </w:r>
      <w:r>
        <w:rPr>
          <w:rStyle w:val="VerbatimChar"/>
        </w:rPr>
        <w:t xml:space="preserve">other/unknown</w:t>
      </w:r>
      <w:r>
        <w:t xml:space="preserve"> </w:t>
      </w:r>
      <w:r>
        <w:t xml:space="preserve">cases. The dense threshold (0.20) was selected by development micro-F1, with macro-F1 and higher threshold as tie-breakers. Test data were not used for selection. Revalidation bound 119 labels by exact chunk identity and conservatively rebound 1 by a unique same-paper page/section/chunk-index locator plus exact bounded-excerpt match. Because the frozen label snapshot and rebuilt technical snapshot are distinct, this is a documented locator-preservation check, not evidence that the underlying texts or topic judgments are interchangeable. The author audit checks only source-backed invariants; candidate merges are preserved for external identity confirmation.</w:t>
      </w:r>
    </w:p>
    <w:p>
      <w:pPr>
        <w:pStyle w:val="BodyText"/>
      </w:pPr>
      <w:r>
        <w:t xml:space="preserve">Generated-output review covers every stored RAG answer, recommendation run, and paper artifact. The procedure records rationale, citation locators, corrections, actor type, and chained event hashes. Configuration-incomplete historical outputs remain</w:t>
      </w:r>
      <w:r>
        <w:t xml:space="preserve"> </w:t>
      </w:r>
      <w:r>
        <w:rPr>
          <w:rStyle w:val="VerbatimChar"/>
        </w:rPr>
        <w:t xml:space="preserve">needs_reprocess</w:t>
      </w:r>
      <w:r>
        <w:t xml:space="preserve">; they are not deleted or silently regenerated.</w:t>
      </w:r>
    </w:p>
    <w:bookmarkEnd w:id="132"/>
    <w:bookmarkStart w:id="133" w:name="performance-and-reproducibility-protocol"/>
    <w:p>
      <w:pPr>
        <w:pStyle w:val="Heading2"/>
      </w:pPr>
      <w:r>
        <w:rPr>
          <w:rStyle w:val="SectionNumber"/>
        </w:rPr>
        <w:t xml:space="preserve">9.7</w:t>
      </w:r>
      <w:r>
        <w:tab/>
      </w:r>
      <w:r>
        <w:t xml:space="preserve">Performance and reproducibility protocol</w:t>
      </w:r>
    </w:p>
    <w:p>
      <w:pPr>
        <w:pStyle w:val="FirstParagraph"/>
      </w:pPr>
      <w:r>
        <w:t xml:space="preserve">The full benchmark uses three process-cold and three warm repetitions at concurrency one. Each workload runs in an isolated database/index/output context and retains raw timing and bounded errors. The operating-system cache is not flushed. A linearly interpolated p95 over three observations is coarse and is reported only as a local baseline. The one-command reproduction path verifies dependencies, rebuilds allowed derived state, runs evaluations and tests, compiles both manuscripts, performs PDF preflight, builds the sanitized release, and emits hashes. Exact full-corpus reruns require lawful access to local PDFs and the pinned dense model.</w:t>
      </w:r>
    </w:p>
    <w:bookmarkEnd w:id="133"/>
    <w:bookmarkEnd w:id="134"/>
    <w:bookmarkStart w:id="150" w:name="ch:results"/>
    <w:p>
      <w:pPr>
        <w:pStyle w:val="Heading1"/>
      </w:pPr>
      <w:r>
        <w:rPr>
          <w:rStyle w:val="SectionNumber"/>
        </w:rPr>
        <w:t xml:space="preserve">10</w:t>
      </w:r>
      <w:r>
        <w:tab/>
      </w:r>
      <w:r>
        <w:t xml:space="preserve">Results</w:t>
      </w:r>
    </w:p>
    <w:bookmarkStart w:id="135" w:name="Xea41b2308e5c89d533f23a20fe876d0fae67ec1"/>
    <w:p>
      <w:pPr>
        <w:pStyle w:val="Heading2"/>
      </w:pPr>
      <w:r>
        <w:rPr>
          <w:rStyle w:val="SectionNumber"/>
        </w:rPr>
        <w:t xml:space="preserve">10.1</w:t>
      </w:r>
      <w:r>
        <w:tab/>
      </w:r>
      <w:r>
        <w:t xml:space="preserve">RQ1: corpus, extraction, and index integrity</w:t>
      </w:r>
    </w:p>
    <w:p>
      <w:pPr>
        <w:pStyle w:val="FirstParagraph"/>
      </w:pPr>
      <w:r>
        <w:t xml:space="preserve">The catalog contains 134 records. 98 PDFs were available; 96 papers passed the frozen inclusion rules, 36 had no eligible full text, and 2 were excluded for suspected PDF/title mismatch. The raw database contains 735 chunks; 719 are eligible, and 199 of those retain an unknown section. SQLite quick check returned</w:t>
      </w:r>
      <w:r>
        <w:t xml:space="preserve"> </w:t>
      </w:r>
      <w:r>
        <w:rPr>
          <w:rStyle w:val="VerbatimChar"/>
        </w:rPr>
        <w:t xml:space="preserve">ok</w:t>
      </w:r>
      <w:r>
        <w:t xml:space="preserve"> </w:t>
      </w:r>
      <w:r>
        <w:t xml:space="preserve">and foreign-key checking found no violations.</w:t>
      </w:r>
    </w:p>
    <w:p>
      <w:pPr>
        <w:pStyle w:val="BodyText"/>
      </w:pPr>
      <w:r>
        <w:t xml:space="preserve">The 40-case AI-silver section review produced exact accuracy 0.900, labeled coverage 0.900, macro precision 0.892, and macro recall 0.904. The unknown-section share remains material, so section-aware ranking is a fallible signal.</w:t>
      </w:r>
    </w:p>
    <w:p>
      <w:pPr>
        <w:pStyle w:val="BodyText"/>
      </w:pPr>
      <w:r>
        <w:t xml:space="preserve">Keyword, feature-hashing, and learned-dense indexes each cover 719/719 eligible chunks (</w:t>
      </w:r>
      <w:hyperlink w:anchor="fig:index-coverage">
        <w:r>
          <w:rPr>
            <w:rStyle w:val="Hyperlink"/>
          </w:rPr>
          <w:t xml:space="preserve">Figure 8.1</w:t>
        </w:r>
      </w:hyperlink>
      <w:r>
        <w:t xml:space="preserve">). Their validated manifests share corpus snapshot</w:t>
      </w:r>
      <w:r>
        <w:t xml:space="preserve"> </w:t>
      </w:r>
      <w:r>
        <w:rPr>
          <w:rStyle w:val="VerbatimChar"/>
        </w:rPr>
        <w:t xml:space="preserve">corpus-f4638c633bea82b0</w:t>
      </w:r>
      <w:r>
        <w:t xml:space="preserve">, ordered chunk/source identities, and the authoritative role. The prior partial-index/stale-status defect is therefore closed for the frozen technical corpus. The bounded conclusion for RQ1 is that complete derived-state coverage is achieved for the eligible subset, while 36 no-text and 2 mismatch records remain outside it and 199 eligible chunks lack a confident section label. This does not make those technical records public: the audited public searchable projection is empty pending human approval, rights clearance, extraction approval, and current public-generation promotion.</w:t>
      </w:r>
    </w:p>
    <w:bookmarkEnd w:id="135"/>
    <w:bookmarkStart w:id="137" w:name="rq2-historical-v1-held-out-retrieval"/>
    <w:p>
      <w:pPr>
        <w:pStyle w:val="Heading2"/>
      </w:pPr>
      <w:r>
        <w:rPr>
          <w:rStyle w:val="SectionNumber"/>
        </w:rPr>
        <w:t xml:space="preserve">10.2</w:t>
      </w:r>
      <w:r>
        <w:tab/>
      </w:r>
      <w:r>
        <w:t xml:space="preserve">RQ2: historical v1 held-out retrieval</w:t>
      </w:r>
    </w:p>
    <w:p>
      <w:pPr>
        <w:pStyle w:val="FirstParagraph"/>
      </w:pPr>
      <w:hyperlink w:anchor="tab:retrieval-results">
        <w:r>
          <w:rPr>
            <w:rStyle w:val="Hyperlink"/>
          </w:rPr>
          <w:t xml:space="preserve">Table 10.1</w:t>
        </w:r>
      </w:hyperlink>
      <w:r>
        <w:t xml:space="preserve"> </w:t>
      </w:r>
      <w:r>
        <w:t xml:space="preserve">reports held-out estimates. Keyword retrieval had the highest point estimate on all four headline answerable-query measures. Learned dense achieved MRR 0.939, set Recall@3 0.916, and set Recall@10 0.989, compared with keyword values 0.947, 0.939, and 1.000. Feature hashing had lower point estimates. The tuned hybrid improved over feature hashing but did not exceed keyword or learned dense on these point estimates.</w:t>
      </w:r>
    </w:p>
    <w:bookmarkStart w:id="136" w:name="tab:retrieval-results"/>
    <w:p>
      <w:pPr>
        <w:pStyle w:val="TableCaption"/>
      </w:pPr>
      <w:r>
        <w:t xml:space="preserve">Table 10.1. Held-out retrieval results on 19 answerable questions. Recall@3 intervals are 10,000-replicate query bootstrap 95% CIs.</w:t>
      </w:r>
    </w:p>
    <w:tbl>
      <w:tblPr>
        <w:tblStyle w:val="Table"/>
        <w:tblW w:type="auto" w:w="0"/>
        <w:tblLook w:firstRow="1" w:lastRow="0" w:firstColumn="0" w:lastColumn="0" w:noHBand="0" w:noVBand="0" w:val="0020"/>
        <w:jc w:val="start"/>
        <w:tblCaption w:val="Table 10.1. Held-out retrieval results on 19 answerable questions. Recall@3 intervals are 10,000-replicate query bootstrap 95% CIs."/>
      </w:tblPr>
      <w:tblGrid>
        <w:gridCol w:w="1320"/>
        <w:gridCol w:w="1320"/>
        <w:gridCol w:w="1320"/>
        <w:gridCol w:w="1320"/>
        <w:gridCol w:w="1320"/>
        <w:gridCol w:w="1320"/>
      </w:tblGrid>
      <w:tr>
        <w:trPr>
          <w:tblHeader w:val="true"/>
          <w:cantSplit/>
        </w:trPr>
        <w:tc>
          <w:tcPr/>
          <w:p>
            <w:pPr>
              <w:pStyle w:val="Compact"/>
              <w:jc w:val="left"/>
            </w:pPr>
            <w:r>
              <w:t xml:space="preserve">Mode</w:t>
            </w:r>
          </w:p>
        </w:tc>
        <w:tc>
          <w:tcPr/>
          <w:p>
            <w:pPr>
              <w:pStyle w:val="Compact"/>
              <w:jc w:val="center"/>
            </w:pPr>
            <w:r>
              <w:t xml:space="preserve">Set R@3 (95% CI)</w:t>
            </w:r>
          </w:p>
        </w:tc>
        <w:tc>
          <w:tcPr/>
          <w:p>
            <w:pPr>
              <w:pStyle w:val="Compact"/>
              <w:jc w:val="center"/>
            </w:pPr>
            <w:r>
              <w:t xml:space="preserve">Set R@10</w:t>
            </w:r>
          </w:p>
        </w:tc>
        <w:tc>
          <w:tcPr/>
          <w:p>
            <w:pPr>
              <w:pStyle w:val="Compact"/>
              <w:jc w:val="center"/>
            </w:pPr>
            <w:r>
              <w:t xml:space="preserve">MRR</w:t>
            </w:r>
          </w:p>
        </w:tc>
        <w:tc>
          <w:tcPr/>
          <w:p>
            <w:pPr>
              <w:pStyle w:val="Compact"/>
              <w:jc w:val="center"/>
            </w:pPr>
            <w:r>
              <w:t xml:space="preserve">nDCG@10</w:t>
            </w:r>
          </w:p>
        </w:tc>
        <w:tc>
          <w:tcPr/>
          <w:p>
            <w:pPr>
              <w:pStyle w:val="Compact"/>
              <w:jc w:val="center"/>
            </w:pPr>
            <w:r>
              <w:t xml:space="preserve">Unans. FP</w:t>
            </w:r>
          </w:p>
        </w:tc>
      </w:tr>
      <w:tr>
        <w:trPr>
          <w:cantSplit/>
        </w:trPr>
        <w:tc>
          <w:tcPr/>
          <w:p>
            <w:pPr>
              <w:pStyle w:val="Compact"/>
              <w:jc w:val="left"/>
            </w:pPr>
            <w:r>
              <w:t xml:space="preserve">Keyword</w:t>
            </w:r>
          </w:p>
        </w:tc>
        <w:tc>
          <w:tcPr/>
          <w:p>
            <w:pPr>
              <w:pStyle w:val="Compact"/>
              <w:jc w:val="center"/>
            </w:pPr>
            <w:r>
              <w:t xml:space="preserve">0.939 [0.866, 1.000]</w:t>
            </w:r>
          </w:p>
        </w:tc>
        <w:tc>
          <w:tcPr/>
          <w:p>
            <w:pPr>
              <w:pStyle w:val="Compact"/>
              <w:jc w:val="center"/>
            </w:pPr>
            <w:r>
              <w:t xml:space="preserve">1.000</w:t>
            </w:r>
          </w:p>
        </w:tc>
        <w:tc>
          <w:tcPr/>
          <w:p>
            <w:pPr>
              <w:pStyle w:val="Compact"/>
              <w:jc w:val="center"/>
            </w:pPr>
            <w:r>
              <w:t xml:space="preserve">0.947</w:t>
            </w:r>
          </w:p>
        </w:tc>
        <w:tc>
          <w:tcPr/>
          <w:p>
            <w:pPr>
              <w:pStyle w:val="Compact"/>
              <w:jc w:val="center"/>
            </w:pPr>
            <w:r>
              <w:t xml:space="preserve">0.958</w:t>
            </w:r>
          </w:p>
        </w:tc>
        <w:tc>
          <w:tcPr/>
          <w:p>
            <w:pPr>
              <w:pStyle w:val="Compact"/>
              <w:jc w:val="center"/>
            </w:pPr>
            <w:r>
              <w:t xml:space="preserve">1/1</w:t>
            </w:r>
          </w:p>
        </w:tc>
      </w:tr>
      <w:tr>
        <w:trPr>
          <w:cantSplit/>
        </w:trPr>
        <w:tc>
          <w:tcPr/>
          <w:p>
            <w:pPr>
              <w:pStyle w:val="Compact"/>
              <w:jc w:val="left"/>
            </w:pPr>
            <w:r>
              <w:t xml:space="preserve">Feature hashing</w:t>
            </w:r>
          </w:p>
        </w:tc>
        <w:tc>
          <w:tcPr/>
          <w:p>
            <w:pPr>
              <w:pStyle w:val="Compact"/>
              <w:jc w:val="center"/>
            </w:pPr>
            <w:r>
              <w:t xml:space="preserve">0.654 [0.443, 0.851]</w:t>
            </w:r>
          </w:p>
        </w:tc>
        <w:tc>
          <w:tcPr/>
          <w:p>
            <w:pPr>
              <w:pStyle w:val="Compact"/>
              <w:jc w:val="center"/>
            </w:pPr>
            <w:r>
              <w:t xml:space="preserve">0.704</w:t>
            </w:r>
          </w:p>
        </w:tc>
        <w:tc>
          <w:tcPr/>
          <w:p>
            <w:pPr>
              <w:pStyle w:val="Compact"/>
              <w:jc w:val="center"/>
            </w:pPr>
            <w:r>
              <w:t xml:space="preserve">0.588</w:t>
            </w:r>
          </w:p>
        </w:tc>
        <w:tc>
          <w:tcPr/>
          <w:p>
            <w:pPr>
              <w:pStyle w:val="Compact"/>
              <w:jc w:val="center"/>
            </w:pPr>
            <w:r>
              <w:t xml:space="preserve">0.582</w:t>
            </w:r>
          </w:p>
        </w:tc>
        <w:tc>
          <w:tcPr/>
          <w:p>
            <w:pPr>
              <w:pStyle w:val="Compact"/>
              <w:jc w:val="center"/>
            </w:pPr>
            <w:r>
              <w:t xml:space="preserve">1/1</w:t>
            </w:r>
          </w:p>
        </w:tc>
      </w:tr>
      <w:tr>
        <w:trPr>
          <w:cantSplit/>
        </w:trPr>
        <w:tc>
          <w:tcPr/>
          <w:p>
            <w:pPr>
              <w:pStyle w:val="Compact"/>
              <w:jc w:val="left"/>
            </w:pPr>
            <w:r>
              <w:t xml:space="preserve">Learned dense</w:t>
            </w:r>
          </w:p>
        </w:tc>
        <w:tc>
          <w:tcPr/>
          <w:p>
            <w:pPr>
              <w:pStyle w:val="Compact"/>
              <w:jc w:val="center"/>
            </w:pPr>
            <w:r>
              <w:t xml:space="preserve">0.916 [0.821, 1.000]</w:t>
            </w:r>
          </w:p>
        </w:tc>
        <w:tc>
          <w:tcPr/>
          <w:p>
            <w:pPr>
              <w:pStyle w:val="Compact"/>
              <w:jc w:val="center"/>
            </w:pPr>
            <w:r>
              <w:t xml:space="preserve">0.989</w:t>
            </w:r>
          </w:p>
        </w:tc>
        <w:tc>
          <w:tcPr/>
          <w:p>
            <w:pPr>
              <w:pStyle w:val="Compact"/>
              <w:jc w:val="center"/>
            </w:pPr>
            <w:r>
              <w:t xml:space="preserve">0.939</w:t>
            </w:r>
          </w:p>
        </w:tc>
        <w:tc>
          <w:tcPr/>
          <w:p>
            <w:pPr>
              <w:pStyle w:val="Compact"/>
              <w:jc w:val="center"/>
            </w:pPr>
            <w:r>
              <w:t xml:space="preserve">0.939</w:t>
            </w:r>
          </w:p>
        </w:tc>
        <w:tc>
          <w:tcPr/>
          <w:p>
            <w:pPr>
              <w:pStyle w:val="Compact"/>
              <w:jc w:val="center"/>
            </w:pPr>
            <w:r>
              <w:t xml:space="preserve">1/1</w:t>
            </w:r>
          </w:p>
        </w:tc>
      </w:tr>
      <w:tr>
        <w:trPr>
          <w:cantSplit/>
        </w:trPr>
        <w:tc>
          <w:tcPr/>
          <w:p>
            <w:pPr>
              <w:pStyle w:val="Compact"/>
              <w:jc w:val="left"/>
            </w:pPr>
            <w:r>
              <w:t xml:space="preserve">Heuristic hybrid</w:t>
            </w:r>
          </w:p>
        </w:tc>
        <w:tc>
          <w:tcPr/>
          <w:p>
            <w:pPr>
              <w:pStyle w:val="Compact"/>
              <w:jc w:val="center"/>
            </w:pPr>
            <w:r>
              <w:t xml:space="preserve">0.795 [0.611, 0.947]</w:t>
            </w:r>
          </w:p>
        </w:tc>
        <w:tc>
          <w:tcPr/>
          <w:p>
            <w:pPr>
              <w:pStyle w:val="Compact"/>
              <w:jc w:val="center"/>
            </w:pPr>
            <w:r>
              <w:t xml:space="preserve">0.969</w:t>
            </w:r>
          </w:p>
        </w:tc>
        <w:tc>
          <w:tcPr/>
          <w:p>
            <w:pPr>
              <w:pStyle w:val="Compact"/>
              <w:jc w:val="center"/>
            </w:pPr>
            <w:r>
              <w:t xml:space="preserve">0.822</w:t>
            </w:r>
          </w:p>
        </w:tc>
        <w:tc>
          <w:tcPr/>
          <w:p>
            <w:pPr>
              <w:pStyle w:val="Compact"/>
              <w:jc w:val="center"/>
            </w:pPr>
            <w:r>
              <w:t xml:space="preserve">0.848</w:t>
            </w:r>
          </w:p>
        </w:tc>
        <w:tc>
          <w:tcPr/>
          <w:p>
            <w:pPr>
              <w:pStyle w:val="Compact"/>
              <w:jc w:val="center"/>
            </w:pPr>
            <w:r>
              <w:t xml:space="preserve">1/1</w:t>
            </w:r>
          </w:p>
        </w:tc>
      </w:tr>
      <w:tr>
        <w:trPr>
          <w:cantSplit/>
        </w:trPr>
        <w:tc>
          <w:tcPr/>
          <w:p>
            <w:pPr>
              <w:pStyle w:val="Compact"/>
              <w:jc w:val="left"/>
            </w:pPr>
            <w:r>
              <w:t xml:space="preserve">Tuned hybrid</w:t>
            </w:r>
          </w:p>
        </w:tc>
        <w:tc>
          <w:tcPr/>
          <w:p>
            <w:pPr>
              <w:pStyle w:val="Compact"/>
              <w:jc w:val="center"/>
            </w:pPr>
            <w:r>
              <w:t xml:space="preserve">0.909 [0.795, 1.000]</w:t>
            </w:r>
          </w:p>
        </w:tc>
        <w:tc>
          <w:tcPr/>
          <w:p>
            <w:pPr>
              <w:pStyle w:val="Compact"/>
              <w:jc w:val="center"/>
            </w:pPr>
            <w:r>
              <w:t xml:space="preserve">0.978</w:t>
            </w:r>
          </w:p>
        </w:tc>
        <w:tc>
          <w:tcPr/>
          <w:p>
            <w:pPr>
              <w:pStyle w:val="Compact"/>
              <w:jc w:val="center"/>
            </w:pPr>
            <w:r>
              <w:t xml:space="preserve">0.912</w:t>
            </w:r>
          </w:p>
        </w:tc>
        <w:tc>
          <w:tcPr/>
          <w:p>
            <w:pPr>
              <w:pStyle w:val="Compact"/>
              <w:jc w:val="center"/>
            </w:pPr>
            <w:r>
              <w:t xml:space="preserve">0.924</w:t>
            </w:r>
          </w:p>
        </w:tc>
        <w:tc>
          <w:tcPr/>
          <w:p>
            <w:pPr>
              <w:pStyle w:val="Compact"/>
              <w:jc w:val="center"/>
            </w:pPr>
            <w:r>
              <w:t xml:space="preserve">1/1</w:t>
            </w:r>
          </w:p>
        </w:tc>
      </w:tr>
    </w:tbl>
    <w:bookmarkEnd w:id="136"/>
    <w:p>
      <w:pPr>
        <w:pStyle w:val="BodyText"/>
      </w:pPr>
      <w:r>
        <w:t xml:space="preserve">The tuned-minus-keyword MRR contrast was</w:t>
      </w:r>
      <w:r>
        <w:t xml:space="preserve"> </w:t>
      </w:r>
      <m:oMath>
        <m:r>
          <m:rPr>
            <m:sty m:val="p"/>
          </m:rPr>
          <m:t>−</m:t>
        </m:r>
        <m:r>
          <m:t>0.035</m:t>
        </m:r>
      </m:oMath>
      <w:r>
        <w:t xml:space="preserve"> </w:t>
      </w:r>
      <w:r>
        <w:t xml:space="preserve">(95% CI</w:t>
      </w:r>
      <w:r>
        <w:t xml:space="preserve"> </w:t>
      </w:r>
      <m:oMath>
        <m:r>
          <m:rPr>
            <m:sty m:val="p"/>
          </m:rPr>
          <m:t>−</m:t>
        </m:r>
        <m:r>
          <m:t>0.140</m:t>
        </m:r>
      </m:oMath>
      <w:r>
        <w:t xml:space="preserve"> </w:t>
      </w:r>
      <w:r>
        <w:t xml:space="preserve">to</w:t>
      </w:r>
      <w:r>
        <w:t xml:space="preserve"> </w:t>
      </w:r>
      <m:oMath>
        <m:r>
          <m:t>0.053</m:t>
        </m:r>
      </m:oMath>
      <w:r>
        <w:t xml:space="preserve">; exact paired randomisation</w:t>
      </w:r>
      <w:r>
        <w:t xml:space="preserve"> </w:t>
      </w:r>
      <m:oMath>
        <m:r>
          <m:t>p</m:t>
        </m:r>
        <m:r>
          <m:rPr>
            <m:sty m:val="p"/>
          </m:rPr>
          <m:t>=</m:t>
        </m:r>
        <m:r>
          <m:t>0.750</m:t>
        </m:r>
      </m:oMath>
      <w:r>
        <w:t xml:space="preserve">, experiment-family Holm-adjusted</w:t>
      </w:r>
      <w:r>
        <w:t xml:space="preserve"> </w:t>
      </w:r>
      <m:oMath>
        <m:r>
          <m:t>p</m:t>
        </m:r>
        <m:r>
          <m:rPr>
            <m:sty m:val="p"/>
          </m:rPr>
          <m:t>=</m:t>
        </m:r>
        <m:r>
          <m:t>1.000</m:t>
        </m:r>
      </m:oMath>
      <w:r>
        <w:t xml:space="preserve">). Tuned-minus-dense was</w:t>
      </w:r>
      <w:r>
        <w:t xml:space="preserve"> </w:t>
      </w:r>
      <m:oMath>
        <m:r>
          <m:rPr>
            <m:sty m:val="p"/>
          </m:rPr>
          <m:t>−</m:t>
        </m:r>
        <m:r>
          <m:t>0.026</m:t>
        </m:r>
      </m:oMath>
      <w:r>
        <w:t xml:space="preserve"> </w:t>
      </w:r>
      <w:r>
        <w:t xml:space="preserve">(95% CI</w:t>
      </w:r>
      <w:r>
        <w:t xml:space="preserve"> </w:t>
      </w:r>
      <m:oMath>
        <m:r>
          <m:rPr>
            <m:sty m:val="p"/>
          </m:rPr>
          <m:t>−</m:t>
        </m:r>
        <m:r>
          <m:t>0.140</m:t>
        </m:r>
      </m:oMath>
      <w:r>
        <w:t xml:space="preserve"> </w:t>
      </w:r>
      <w:r>
        <w:t xml:space="preserve">to</w:t>
      </w:r>
      <w:r>
        <w:t xml:space="preserve"> </w:t>
      </w:r>
      <m:oMath>
        <m:r>
          <m:t>0.079</m:t>
        </m:r>
      </m:oMath>
      <w:r>
        <w:t xml:space="preserve">; adjusted</w:t>
      </w:r>
      <w:r>
        <w:t xml:space="preserve"> </w:t>
      </w:r>
      <m:oMath>
        <m:r>
          <m:t>p</m:t>
        </m:r>
        <m:r>
          <m:rPr>
            <m:sty m:val="p"/>
          </m:rPr>
          <m:t>=</m:t>
        </m:r>
        <m:r>
          <m:t>1.000</m:t>
        </m:r>
      </m:oMath>
      <w:r>
        <w:t xml:space="preserve">). Tuned-minus-feature-hashing was</w:t>
      </w:r>
      <w:r>
        <w:t xml:space="preserve"> </w:t>
      </w:r>
      <m:oMath>
        <m:r>
          <m:rPr>
            <m:sty m:val="p"/>
          </m:rPr>
          <m:t>+</m:t>
        </m:r>
        <m:r>
          <m:t>0.325</m:t>
        </m:r>
      </m:oMath>
      <w:r>
        <w:t xml:space="preserve"> </w:t>
      </w:r>
      <w:r>
        <w:t xml:space="preserve">(95% CI</w:t>
      </w:r>
      <w:r>
        <w:t xml:space="preserve"> </w:t>
      </w:r>
      <m:oMath>
        <m:r>
          <m:t>0.123</m:t>
        </m:r>
      </m:oMath>
      <w:r>
        <w:t xml:space="preserve"> </w:t>
      </w:r>
      <w:r>
        <w:t xml:space="preserve">to</w:t>
      </w:r>
      <w:r>
        <w:t xml:space="preserve"> </w:t>
      </w:r>
      <m:oMath>
        <m:r>
          <m:t>0.535</m:t>
        </m:r>
      </m:oMath>
      <w:r>
        <w:t xml:space="preserve">), but the paired</w:t>
      </w:r>
      <w:r>
        <w:t xml:space="preserve"> </w:t>
      </w:r>
      <m:oMath>
        <m:r>
          <m:t>p</m:t>
        </m:r>
        <m:r>
          <m:rPr>
            <m:sty m:val="p"/>
          </m:rPr>
          <m:t>=</m:t>
        </m:r>
        <m:r>
          <m:t>0.012</m:t>
        </m:r>
      </m:oMath>
      <w:r>
        <w:t xml:space="preserve"> </w:t>
      </w:r>
      <w:r>
        <w:t xml:space="preserve">and family-adjusted</w:t>
      </w:r>
      <w:r>
        <w:t xml:space="preserve"> </w:t>
      </w:r>
      <m:oMath>
        <m:r>
          <m:t>p</m:t>
        </m:r>
        <m:r>
          <m:rPr>
            <m:sty m:val="p"/>
          </m:rPr>
          <m:t>=</m:t>
        </m:r>
        <m:r>
          <m:t>0.316</m:t>
        </m:r>
      </m:oMath>
      <w:r>
        <w:t xml:space="preserve"> </w:t>
      </w:r>
      <w:r>
        <w:t xml:space="preserve">did not reject the null. No corrected comparison demonstrated superiority.</w:t>
      </w:r>
    </w:p>
    <w:p>
      <w:pPr>
        <w:pStyle w:val="BodyText"/>
      </w:pPr>
      <w:r>
        <w:t xml:space="preserve">Cumulative ablations were descriptive because they were examined after configuration selection. Adding topic adjustment produced set Recall@3 0.916, Recall@10 1.000, MRR 0.947, and nDCG@10 0.952; adding diversity did not change those aggregates. The error taxonomy flagged 0 extraction/unknown-section case, 2 intent/ranking cases in which relevant papers fell below rank ten, and 1 unanswerable corpus-absence case. All five modes returned a positive result for the one held-out unanswerable query. This single case is too small for a stable rate; it shows only that none of the evaluated configurations abstained on that case. The RQ2 conclusion is that keyword had the highest held-out point estimates, learned dense was lower on every headline point estimate, and no corrected comparison established tuned-hybrid superiority.</w:t>
      </w:r>
    </w:p>
    <w:bookmarkEnd w:id="137"/>
    <w:bookmarkStart w:id="139" w:name="X7812edb4f3bb9da3b1771c124c2a4bc9ba81c7d"/>
    <w:p>
      <w:pPr>
        <w:pStyle w:val="Heading2"/>
      </w:pPr>
      <w:r>
        <w:rPr>
          <w:rStyle w:val="SectionNumber"/>
        </w:rPr>
        <w:t xml:space="preserve">10.3</w:t>
      </w:r>
      <w:r>
        <w:tab/>
      </w:r>
      <w:r>
        <w:t xml:space="preserve">RQ3: historical v1 claim support, citations, completeness, and abstention</w:t>
      </w:r>
    </w:p>
    <w:p>
      <w:pPr>
        <w:pStyle w:val="FirstParagraph"/>
      </w:pPr>
      <w:hyperlink w:anchor="tab:qa-results">
        <w:r>
          <w:rPr>
            <w:rStyle w:val="Hyperlink"/>
          </w:rPr>
          <w:t xml:space="preserve">Table 10.2</w:t>
        </w:r>
      </w:hyperlink>
      <w:r>
        <w:t xml:space="preserve"> </w:t>
      </w:r>
      <w:r>
        <w:t xml:space="preserve">separates support from completeness. Of 334 checkable claims, 331 were supported, 3 partially supported, and 0 unsupported. Strict supported-claim rate was 0.991 (95% CI 0.980–1.000). Every checkable claim carried a citation, but only 218/334 claim–citation links were fully correct: 0.653 (95% CI 0.592–0.715). Strict answer-point coverage was 11/81, or 0.1358 (95% CI 0.067–0.211). Returned citation utilisation was 1.000. Of 50 cases, 49 received a response and 1 abstained.</w:t>
      </w:r>
    </w:p>
    <w:bookmarkStart w:id="138" w:name="tab:qa-results"/>
    <w:p>
      <w:pPr>
        <w:pStyle w:val="TableCaption"/>
      </w:pPr>
      <w:r>
        <w:t xml:space="preserve">Table 10.2. AI-assisted QA review over 50 offline extractive cases. Partial labels do not count in strict estimates.</w:t>
      </w:r>
    </w:p>
    <w:tbl>
      <w:tblPr>
        <w:tblStyle w:val="Table"/>
        <w:tblW w:type="auto" w:w="0"/>
        <w:tblLook w:firstRow="1" w:lastRow="0" w:firstColumn="0" w:lastColumn="0" w:noHBand="0" w:noVBand="0" w:val="0020"/>
        <w:jc w:val="start"/>
        <w:tblCaption w:val="Table 10.2. AI-assisted QA review over 50 offline extractive cases. Partial labels do not count in strict estimates."/>
      </w:tblPr>
      <w:tblGrid>
        <w:gridCol w:w="1980"/>
        <w:gridCol w:w="1980"/>
        <w:gridCol w:w="1980"/>
        <w:gridCol w:w="1980"/>
      </w:tblGrid>
      <w:tr>
        <w:trPr>
          <w:tblHeader w:val="true"/>
          <w:cantSplit/>
        </w:trPr>
        <w:tc>
          <w:tcPr/>
          <w:p>
            <w:pPr>
              <w:pStyle w:val="Compact"/>
              <w:jc w:val="left"/>
            </w:pPr>
            <w:r>
              <w:t xml:space="preserve">Metric</w:t>
            </w:r>
          </w:p>
        </w:tc>
        <w:tc>
          <w:tcPr/>
          <w:p>
            <w:pPr>
              <w:pStyle w:val="Compact"/>
              <w:jc w:val="center"/>
            </w:pPr>
            <w:r>
              <w:t xml:space="preserve">Estimate</w:t>
            </w:r>
          </w:p>
        </w:tc>
        <w:tc>
          <w:tcPr/>
          <w:p>
            <w:pPr>
              <w:pStyle w:val="Compact"/>
              <w:jc w:val="center"/>
            </w:pPr>
            <w:r>
              <w:t xml:space="preserve">95% CI</w:t>
            </w:r>
          </w:p>
        </w:tc>
        <w:tc>
          <w:tcPr/>
          <w:p>
            <w:pPr>
              <w:pStyle w:val="Compact"/>
              <w:jc w:val="center"/>
            </w:pPr>
            <w:r>
              <w:t xml:space="preserve">Interpretation</w:t>
            </w:r>
          </w:p>
        </w:tc>
      </w:tr>
      <w:tr>
        <w:trPr>
          <w:cantSplit/>
        </w:trPr>
        <w:tc>
          <w:tcPr/>
          <w:p>
            <w:pPr>
              <w:pStyle w:val="Compact"/>
              <w:jc w:val="left"/>
            </w:pPr>
            <w:r>
              <w:t xml:space="preserve">Supported-claim rate</w:t>
            </w:r>
          </w:p>
        </w:tc>
        <w:tc>
          <w:tcPr/>
          <w:p>
            <w:pPr>
              <w:pStyle w:val="Compact"/>
              <w:jc w:val="center"/>
            </w:pPr>
            <w:r>
              <w:t xml:space="preserve">0.991</w:t>
            </w:r>
          </w:p>
        </w:tc>
        <w:tc>
          <w:tcPr/>
          <w:p>
            <w:pPr>
              <w:pStyle w:val="Compact"/>
              <w:jc w:val="center"/>
            </w:pPr>
            <w:r>
              <w:t xml:space="preserve">[0.980, 1.000]</w:t>
            </w:r>
          </w:p>
        </w:tc>
        <w:tc>
          <w:tcPr/>
          <w:p>
            <w:pPr>
              <w:pStyle w:val="Compact"/>
              <w:jc w:val="center"/>
            </w:pPr>
            <w:r>
              <w:t xml:space="preserve">local claim/source support</w:t>
            </w:r>
          </w:p>
        </w:tc>
      </w:tr>
      <w:tr>
        <w:trPr>
          <w:cantSplit/>
        </w:trPr>
        <w:tc>
          <w:tcPr/>
          <w:p>
            <w:pPr>
              <w:pStyle w:val="Compact"/>
              <w:jc w:val="left"/>
            </w:pPr>
            <w:r>
              <w:t xml:space="preserve">Citation correctness</w:t>
            </w:r>
          </w:p>
        </w:tc>
        <w:tc>
          <w:tcPr/>
          <w:p>
            <w:pPr>
              <w:pStyle w:val="Compact"/>
              <w:jc w:val="center"/>
            </w:pPr>
            <w:r>
              <w:t xml:space="preserve">0.653</w:t>
            </w:r>
          </w:p>
        </w:tc>
        <w:tc>
          <w:tcPr/>
          <w:p>
            <w:pPr>
              <w:pStyle w:val="Compact"/>
              <w:jc w:val="center"/>
            </w:pPr>
            <w:r>
              <w:t xml:space="preserve">[0.592, 0.715]</w:t>
            </w:r>
          </w:p>
        </w:tc>
        <w:tc>
          <w:tcPr/>
          <w:p>
            <w:pPr>
              <w:pStyle w:val="Compact"/>
              <w:jc w:val="center"/>
            </w:pPr>
            <w:r>
              <w:t xml:space="preserve">correct claim–citation links</w:t>
            </w:r>
          </w:p>
        </w:tc>
      </w:tr>
      <w:tr>
        <w:trPr>
          <w:cantSplit/>
        </w:trPr>
        <w:tc>
          <w:tcPr/>
          <w:p>
            <w:pPr>
              <w:pStyle w:val="Compact"/>
              <w:jc w:val="left"/>
            </w:pPr>
            <w:r>
              <w:t xml:space="preserve">Citation completeness</w:t>
            </w:r>
          </w:p>
        </w:tc>
        <w:tc>
          <w:tcPr/>
          <w:p>
            <w:pPr>
              <w:pStyle w:val="Compact"/>
              <w:jc w:val="center"/>
            </w:pPr>
            <w:r>
              <w:t xml:space="preserve">1.000</w:t>
            </w:r>
          </w:p>
        </w:tc>
        <w:tc>
          <w:tcPr/>
          <w:p>
            <w:pPr>
              <w:pStyle w:val="Compact"/>
              <w:jc w:val="center"/>
            </w:pPr>
            <w:r>
              <w:t xml:space="preserve">[1.000, 1.000]</w:t>
            </w:r>
          </w:p>
        </w:tc>
        <w:tc>
          <w:tcPr/>
          <w:p>
            <w:pPr>
              <w:pStyle w:val="Compact"/>
              <w:jc w:val="center"/>
            </w:pPr>
            <w:r>
              <w:t xml:space="preserve">citation presence only</w:t>
            </w:r>
          </w:p>
        </w:tc>
      </w:tr>
      <w:tr>
        <w:trPr>
          <w:cantSplit/>
        </w:trPr>
        <w:tc>
          <w:tcPr/>
          <w:p>
            <w:pPr>
              <w:pStyle w:val="Compact"/>
              <w:jc w:val="left"/>
            </w:pPr>
            <w:r>
              <w:t xml:space="preserve">Answer-point coverage</w:t>
            </w:r>
          </w:p>
        </w:tc>
        <w:tc>
          <w:tcPr/>
          <w:p>
            <w:pPr>
              <w:pStyle w:val="Compact"/>
              <w:jc w:val="center"/>
            </w:pPr>
            <w:r>
              <w:t xml:space="preserve">0.1358</w:t>
            </w:r>
          </w:p>
        </w:tc>
        <w:tc>
          <w:tcPr/>
          <w:p>
            <w:pPr>
              <w:pStyle w:val="Compact"/>
              <w:jc w:val="center"/>
            </w:pPr>
            <w:r>
              <w:t xml:space="preserve">[0.067, 0.211]</w:t>
            </w:r>
          </w:p>
        </w:tc>
        <w:tc>
          <w:tcPr/>
          <w:p>
            <w:pPr>
              <w:pStyle w:val="Compact"/>
              <w:jc w:val="center"/>
            </w:pPr>
            <w:r>
              <w:t xml:space="preserve">strict expected-content coverage</w:t>
            </w:r>
          </w:p>
        </w:tc>
      </w:tr>
      <w:tr>
        <w:trPr>
          <w:cantSplit/>
        </w:trPr>
        <w:tc>
          <w:tcPr/>
          <w:p>
            <w:pPr>
              <w:pStyle w:val="Compact"/>
              <w:jc w:val="left"/>
            </w:pPr>
            <w:r>
              <w:t xml:space="preserve">Answerability accuracy</w:t>
            </w:r>
          </w:p>
        </w:tc>
        <w:tc>
          <w:tcPr/>
          <w:p>
            <w:pPr>
              <w:pStyle w:val="Compact"/>
              <w:jc w:val="center"/>
            </w:pPr>
            <w:r>
              <w:t xml:space="preserve">0.940</w:t>
            </w:r>
          </w:p>
        </w:tc>
        <w:tc>
          <w:tcPr/>
          <w:p>
            <w:pPr>
              <w:pStyle w:val="Compact"/>
              <w:jc w:val="center"/>
            </w:pPr>
            <w:r>
              <w:t xml:space="preserve">[0.860, 1.000]</w:t>
            </w:r>
          </w:p>
        </w:tc>
        <w:tc>
          <w:tcPr/>
          <w:p>
            <w:pPr>
              <w:pStyle w:val="Compact"/>
              <w:jc w:val="center"/>
            </w:pPr>
            <w:r>
              <w:t xml:space="preserve">answer/abstain decision</w:t>
            </w:r>
          </w:p>
        </w:tc>
      </w:tr>
      <w:tr>
        <w:trPr>
          <w:cantSplit/>
        </w:trPr>
        <w:tc>
          <w:tcPr/>
          <w:p>
            <w:pPr>
              <w:pStyle w:val="Compact"/>
              <w:jc w:val="left"/>
            </w:pPr>
            <w:r>
              <w:t xml:space="preserve">Unanswerable abstention</w:t>
            </w:r>
          </w:p>
        </w:tc>
        <w:tc>
          <w:tcPr/>
          <w:p>
            <w:pPr>
              <w:pStyle w:val="Compact"/>
              <w:jc w:val="center"/>
            </w:pPr>
            <w:r>
              <w:t xml:space="preserve">0.250</w:t>
            </w:r>
          </w:p>
        </w:tc>
        <w:tc>
          <w:tcPr/>
          <w:p>
            <w:pPr>
              <w:pStyle w:val="Compact"/>
              <w:jc w:val="center"/>
            </w:pPr>
            <w:r>
              <w:t xml:space="preserve">[0.000, 1.000]</w:t>
            </w:r>
          </w:p>
        </w:tc>
        <w:tc>
          <w:tcPr/>
          <w:p>
            <w:pPr>
              <w:pStyle w:val="Compact"/>
              <w:jc w:val="center"/>
            </w:pPr>
            <w:r>
              <w:t xml:space="preserve">1/4 cases abstained</w:t>
            </w:r>
          </w:p>
        </w:tc>
      </w:tr>
    </w:tbl>
    <w:bookmarkEnd w:id="138"/>
    <w:p>
      <w:pPr>
        <w:pStyle w:val="BodyText"/>
      </w:pPr>
      <w:r>
        <w:t xml:space="preserve">The error analysis found incomplete answers in 44/50 cases, off-topic retrieval in 42, within-paper evidence misses in 16, full answer-point omissions in 13, answer sentence-selection misses in 9, incorrect citations in 3, and 3 false-positive unanswerable cases. Thus, source-traceable extraction produced few locally unsupported claims in this sample, but it did not deliver complete answers and abstained on only 1/4 unanswerable cases. The RQ3 conclusion is a negative/mixed result: high local claim support coexists with weak citation choice, 11/81 strict point coverage, and poor abstention, so structural citation presence overstates end-to-end answer quality.</w:t>
      </w:r>
    </w:p>
    <w:bookmarkEnd w:id="139"/>
    <w:bookmarkStart w:id="141" w:name="Xd9dcf1b37b86294d9bfac7445e713063d9a5056"/>
    <w:p>
      <w:pPr>
        <w:pStyle w:val="Heading2"/>
      </w:pPr>
      <w:r>
        <w:rPr>
          <w:rStyle w:val="SectionNumber"/>
        </w:rPr>
        <w:t xml:space="preserve">10.4</w:t>
      </w:r>
      <w:r>
        <w:tab/>
      </w:r>
      <w:r>
        <w:t xml:space="preserve">RQ4: historical v1 recommendation proxy evaluation</w:t>
      </w:r>
    </w:p>
    <w:p>
      <w:pPr>
        <w:pStyle w:val="FirstParagraph"/>
      </w:pPr>
      <w:r>
        <w:t xml:space="preserve">Across 28 profiles, the evidence-only arm filled 84/84 requested ranks. The full Finder filled 67/84 (0.798), leaving 17 ranks unfilled; only 16/28 profiles reached the requested cutoff. Missing ranks receive zero relevance in the paired top-</w:t>
      </w:r>
      <m:oMath>
        <m:r>
          <m:t>k</m:t>
        </m:r>
      </m:oMath>
      <w:r>
        <w:t xml:space="preserve"> </w:t>
      </w:r>
      <w:r>
        <w:t xml:space="preserve">score. Evidence-only AI-proxy relevance was 0.631 (95% CI 0.536–0.738); full-Finder relevance was 0.595 (95% CI 0.673–0.869). The paired full-minus-baseline estimate was -0.036 (95% CI -0.119–0.048), so improvement was not demonstrated.</w:t>
      </w:r>
    </w:p>
    <w:bookmarkStart w:id="140" w:name="tab:recommendation-criteria"/>
    <w:p>
      <w:pPr>
        <w:pStyle w:val="TableCaption"/>
      </w:pPr>
      <w:r>
        <w:t xml:space="preserve">Table 10.3. Historical Finder AI-proxy judgments conditional on the 67 emitted items. Missing ranking slots are excluded here but score zero in paired relevance.</w:t>
      </w:r>
    </w:p>
    <w:tbl>
      <w:tblPr>
        <w:tblStyle w:val="Table"/>
        <w:tblW w:type="auto" w:w="0"/>
        <w:tblLook w:firstRow="1" w:lastRow="0" w:firstColumn="0" w:lastColumn="0" w:noHBand="0" w:noVBand="0" w:val="0020"/>
        <w:jc w:val="start"/>
        <w:tblCaption w:val="Table 10.3. Historical Finder AI-proxy judgments conditional on the 67 emitted items. Missing ranking slots are excluded here but score zero in paired relevance."/>
      </w:tblPr>
      <w:tblGrid>
        <w:gridCol w:w="1980"/>
        <w:gridCol w:w="1980"/>
        <w:gridCol w:w="1980"/>
        <w:gridCol w:w="1980"/>
      </w:tblGrid>
      <w:tr>
        <w:trPr>
          <w:tblHeader w:val="true"/>
          <w:cantSplit/>
        </w:trPr>
        <w:tc>
          <w:tcPr/>
          <w:p>
            <w:pPr>
              <w:pStyle w:val="Compact"/>
              <w:jc w:val="left"/>
            </w:pPr>
            <w:r>
              <w:t xml:space="preserve">Criterion</w:t>
            </w:r>
          </w:p>
        </w:tc>
        <w:tc>
          <w:tcPr/>
          <w:p>
            <w:pPr>
              <w:pStyle w:val="Compact"/>
              <w:jc w:val="right"/>
            </w:pPr>
            <w:r>
              <w:t xml:space="preserve">Pass</w:t>
            </w:r>
          </w:p>
        </w:tc>
        <w:tc>
          <w:tcPr/>
          <w:p>
            <w:pPr>
              <w:pStyle w:val="Compact"/>
              <w:jc w:val="right"/>
            </w:pPr>
            <w:r>
              <w:t xml:space="preserve">Partial</w:t>
            </w:r>
          </w:p>
        </w:tc>
        <w:tc>
          <w:tcPr/>
          <w:p>
            <w:pPr>
              <w:pStyle w:val="Compact"/>
              <w:jc w:val="right"/>
            </w:pPr>
            <w:r>
              <w:t xml:space="preserve">Fail</w:t>
            </w:r>
          </w:p>
        </w:tc>
      </w:tr>
      <w:tr>
        <w:trPr>
          <w:cantSplit/>
        </w:trPr>
        <w:tc>
          <w:tcPr/>
          <w:p>
            <w:pPr>
              <w:pStyle w:val="Compact"/>
              <w:jc w:val="left"/>
            </w:pPr>
            <w:r>
              <w:t xml:space="preserve">Fact/suggestion separation</w:t>
            </w:r>
          </w:p>
        </w:tc>
        <w:tc>
          <w:tcPr/>
          <w:p>
            <w:pPr>
              <w:pStyle w:val="Compact"/>
              <w:jc w:val="right"/>
            </w:pPr>
            <w:r>
              <w:t xml:space="preserve">66</w:t>
            </w:r>
          </w:p>
        </w:tc>
        <w:tc>
          <w:tcPr/>
          <w:p>
            <w:pPr>
              <w:pStyle w:val="Compact"/>
              <w:jc w:val="right"/>
            </w:pPr>
            <w:r>
              <w:t xml:space="preserve">0</w:t>
            </w:r>
          </w:p>
        </w:tc>
        <w:tc>
          <w:tcPr/>
          <w:p>
            <w:pPr>
              <w:pStyle w:val="Compact"/>
              <w:jc w:val="right"/>
            </w:pPr>
            <w:r>
              <w:t xml:space="preserve">1</w:t>
            </w:r>
          </w:p>
        </w:tc>
      </w:tr>
      <w:tr>
        <w:trPr>
          <w:cantSplit/>
        </w:trPr>
        <w:tc>
          <w:tcPr/>
          <w:p>
            <w:pPr>
              <w:pStyle w:val="Compact"/>
              <w:jc w:val="left"/>
            </w:pPr>
            <w:r>
              <w:t xml:space="preserve">Feasibility support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67</w:t>
            </w:r>
          </w:p>
        </w:tc>
      </w:tr>
      <w:tr>
        <w:trPr>
          <w:cantSplit/>
        </w:trPr>
        <w:tc>
          <w:tcPr/>
          <w:p>
            <w:pPr>
              <w:pStyle w:val="Compact"/>
              <w:jc w:val="left"/>
            </w:pPr>
            <w:r>
              <w:t xml:space="preserve">MVP quality</w:t>
            </w:r>
          </w:p>
        </w:tc>
        <w:tc>
          <w:tcPr/>
          <w:p>
            <w:pPr>
              <w:pStyle w:val="Compact"/>
              <w:jc w:val="right"/>
            </w:pPr>
            <w:r>
              <w:t xml:space="preserve">64</w:t>
            </w:r>
          </w:p>
        </w:tc>
        <w:tc>
          <w:tcPr/>
          <w:p>
            <w:pPr>
              <w:pStyle w:val="Compact"/>
              <w:jc w:val="right"/>
            </w:pPr>
            <w:r>
              <w:t xml:space="preserve">3</w:t>
            </w:r>
          </w:p>
        </w:tc>
        <w:tc>
          <w:tcPr/>
          <w:p>
            <w:pPr>
              <w:pStyle w:val="Compact"/>
              <w:jc w:val="right"/>
            </w:pPr>
            <w:r>
              <w:t xml:space="preserve">0</w:t>
            </w:r>
          </w:p>
        </w:tc>
      </w:tr>
      <w:tr>
        <w:trPr>
          <w:cantSplit/>
        </w:trPr>
        <w:tc>
          <w:tcPr/>
          <w:p>
            <w:pPr>
              <w:pStyle w:val="Compact"/>
              <w:jc w:val="left"/>
            </w:pPr>
            <w:r>
              <w:t xml:space="preserve">Evaluation-plan quality</w:t>
            </w:r>
          </w:p>
        </w:tc>
        <w:tc>
          <w:tcPr/>
          <w:p>
            <w:pPr>
              <w:pStyle w:val="Compact"/>
              <w:jc w:val="right"/>
            </w:pPr>
            <w:r>
              <w:t xml:space="preserve">31</w:t>
            </w:r>
          </w:p>
        </w:tc>
        <w:tc>
          <w:tcPr/>
          <w:p>
            <w:pPr>
              <w:pStyle w:val="Compact"/>
              <w:jc w:val="right"/>
            </w:pPr>
            <w:r>
              <w:t xml:space="preserve">7</w:t>
            </w:r>
          </w:p>
        </w:tc>
        <w:tc>
          <w:tcPr/>
          <w:p>
            <w:pPr>
              <w:pStyle w:val="Compact"/>
              <w:jc w:val="right"/>
            </w:pPr>
            <w:r>
              <w:t xml:space="preserve">29</w:t>
            </w:r>
          </w:p>
        </w:tc>
      </w:tr>
      <w:tr>
        <w:trPr>
          <w:cantSplit/>
        </w:trPr>
        <w:tc>
          <w:tcPr/>
          <w:p>
            <w:pPr>
              <w:pStyle w:val="Compact"/>
              <w:jc w:val="left"/>
            </w:pPr>
            <w:r>
              <w:t xml:space="preserve">AI-proxy usefulness</w:t>
            </w:r>
          </w:p>
        </w:tc>
        <w:tc>
          <w:tcPr/>
          <w:p>
            <w:pPr>
              <w:pStyle w:val="Compact"/>
              <w:jc w:val="right"/>
            </w:pPr>
            <w:r>
              <w:t xml:space="preserve">0</w:t>
            </w:r>
          </w:p>
        </w:tc>
        <w:tc>
          <w:tcPr/>
          <w:p>
            <w:pPr>
              <w:pStyle w:val="Compact"/>
              <w:jc w:val="right"/>
            </w:pPr>
            <w:r>
              <w:t xml:space="preserve">0</w:t>
            </w:r>
          </w:p>
        </w:tc>
        <w:tc>
          <w:tcPr/>
          <w:p>
            <w:pPr>
              <w:pStyle w:val="Compact"/>
              <w:jc w:val="right"/>
            </w:pPr>
            <w:r>
              <w:t xml:space="preserve">67</w:t>
            </w:r>
          </w:p>
        </w:tc>
      </w:tr>
    </w:tbl>
    <w:bookmarkEnd w:id="140"/>
    <w:p>
      <w:pPr>
        <w:pStyle w:val="BodyText"/>
      </w:pPr>
      <w:hyperlink w:anchor="tab:recommendation-criteria">
        <w:r>
          <w:rPr>
            <w:rStyle w:val="Hyperlink"/>
          </w:rPr>
          <w:t xml:space="preserve">Table 10.3</w:t>
        </w:r>
      </w:hyperlink>
      <w:r>
        <w:t xml:space="preserve"> </w:t>
      </w:r>
      <w:r>
        <w:t xml:space="preserve">details the criterion-level judgments. Source fidelity passed for all 67 emitted items, while fact/suggestion separation passed for 66/67. Feasibility had no pass or partial judgment and failed for 67/67 because source evidence could not establish time, skill mastery, or data access; this does not prove that the projects are infeasible. MVP quality passed in 64 cases and was partial in 3; evaluation-plan quality passed/was partial/failed in 31/7/29; and AI-proxy usefulness failed for 67/67. The two AI passes agreed exactly at 0.991 over 905 criterion judgments; this is same-process consistency, not human inter-rater reliability. Weight sensitivity showed the interest term was the most disruptive removal, while most</w:t>
      </w:r>
      <w:r>
        <w:t xml:space="preserve"> </w:t>
      </w:r>
      <m:oMath>
        <m:r>
          <m:rPr>
            <m:sty m:val="p"/>
          </m:rPr>
          <m:t>±</m:t>
        </m:r>
        <m:r>
          <m:t>25</m:t>
        </m:r>
        <m:r>
          <m:rPr>
            <m:sty m:val="p"/>
          </m:rPr>
          <m:t>%</m:t>
        </m:r>
      </m:oMath>
      <w:r>
        <w:t xml:space="preserve"> </w:t>
      </w:r>
      <w:r>
        <w:t xml:space="preserve">changes retained high top-three overlap. RQ4 therefore finds no relevance improvement and no demonstrated usefulness or feasibility, despite generally strong structural separation among returned items.</w:t>
      </w:r>
    </w:p>
    <w:bookmarkEnd w:id="141"/>
    <w:bookmarkStart w:id="144" w:name="Xdf86431aaf561e7e57582ee2a208da128b19167"/>
    <w:p>
      <w:pPr>
        <w:pStyle w:val="Heading2"/>
      </w:pPr>
      <w:r>
        <w:rPr>
          <w:rStyle w:val="SectionNumber"/>
        </w:rPr>
        <w:t xml:space="preserve">10.5</w:t>
      </w:r>
      <w:r>
        <w:tab/>
      </w:r>
      <w:r>
        <w:t xml:space="preserve">RQ5: historical v1 topics, authors, and generated review</w:t>
      </w:r>
    </w:p>
    <w:p>
      <w:pPr>
        <w:pStyle w:val="FirstParagraph"/>
      </w:pPr>
      <w:r>
        <w:t xml:space="preserve">The held-out topic results in</w:t>
      </w:r>
      <w:r>
        <w:t xml:space="preserve"> </w:t>
      </w:r>
      <w:hyperlink w:anchor="tab:topic-results">
        <w:r>
          <w:rPr>
            <w:rStyle w:val="Hyperlink"/>
          </w:rPr>
          <w:t xml:space="preserve">Table 10.4</w:t>
        </w:r>
      </w:hyperlink>
      <w:r>
        <w:t xml:space="preserve"> </w:t>
      </w:r>
      <w:r>
        <w:t xml:space="preserve">show a precision–recall trade-off. The controlled lexical method achieved higher precision and F1; the dense prototype achieved higher recall and coverage but produced more semantic overreach. The controlled vocabulary was retained for its precision, inspectability, and editability.</w:t>
      </w:r>
    </w:p>
    <w:bookmarkStart w:id="142" w:name="tab:topic-results"/>
    <w:p>
      <w:pPr>
        <w:pStyle w:val="TableCaption"/>
      </w:pPr>
      <w:r>
        <w:t xml:space="preserve">Table 10.4. Held-out multi-label topic results on 24 AI-silver paper cases.</w:t>
      </w:r>
    </w:p>
    <w:tbl>
      <w:tblPr>
        <w:tblStyle w:val="Table"/>
        <w:tblW w:type="auto" w:w="0"/>
        <w:tblLook w:firstRow="1" w:lastRow="0" w:firstColumn="0" w:lastColumn="0" w:noHBand="0" w:noVBand="0" w:val="0020"/>
        <w:jc w:val="start"/>
        <w:tblCaption w:val="Table 10.4. Held-out multi-label topic results on 24 AI-silver paper cases."/>
      </w:tblPr>
      <w:tblGrid>
        <w:gridCol w:w="1584"/>
        <w:gridCol w:w="1584"/>
        <w:gridCol w:w="1584"/>
        <w:gridCol w:w="1584"/>
        <w:gridCol w:w="1584"/>
      </w:tblGrid>
      <w:tr>
        <w:trPr>
          <w:tblHeader w:val="true"/>
          <w:cantSplit/>
        </w:trPr>
        <w:tc>
          <w:tcPr/>
          <w:p>
            <w:pPr>
              <w:pStyle w:val="Compact"/>
              <w:jc w:val="left"/>
            </w:pPr>
            <w:r>
              <w:t xml:space="preserve">Method</w:t>
            </w:r>
          </w:p>
        </w:tc>
        <w:tc>
          <w:tcPr/>
          <w:p>
            <w:pPr>
              <w:pStyle w:val="Compact"/>
              <w:jc w:val="center"/>
            </w:pPr>
            <w:r>
              <w:t xml:space="preserve">Micro precision</w:t>
            </w:r>
          </w:p>
        </w:tc>
        <w:tc>
          <w:tcPr/>
          <w:p>
            <w:pPr>
              <w:pStyle w:val="Compact"/>
              <w:jc w:val="center"/>
            </w:pPr>
            <w:r>
              <w:t xml:space="preserve">Micro recall</w:t>
            </w:r>
          </w:p>
        </w:tc>
        <w:tc>
          <w:tcPr/>
          <w:p>
            <w:pPr>
              <w:pStyle w:val="Compact"/>
              <w:jc w:val="center"/>
            </w:pPr>
            <w:r>
              <w:t xml:space="preserve">Micro F1</w:t>
            </w:r>
          </w:p>
        </w:tc>
        <w:tc>
          <w:tcPr/>
          <w:p>
            <w:pPr>
              <w:pStyle w:val="Compact"/>
              <w:jc w:val="center"/>
            </w:pPr>
            <w:r>
              <w:t xml:space="preserve">Coverage</w:t>
            </w:r>
          </w:p>
        </w:tc>
      </w:tr>
      <w:tr>
        <w:trPr>
          <w:cantSplit/>
        </w:trPr>
        <w:tc>
          <w:tcPr/>
          <w:p>
            <w:pPr>
              <w:pStyle w:val="Compact"/>
              <w:jc w:val="left"/>
            </w:pPr>
            <w:r>
              <w:t xml:space="preserve">Controlled lexical</w:t>
            </w:r>
          </w:p>
        </w:tc>
        <w:tc>
          <w:tcPr/>
          <w:p>
            <w:pPr>
              <w:pStyle w:val="Compact"/>
              <w:jc w:val="center"/>
            </w:pPr>
            <w:r>
              <w:t xml:space="preserve">0.652</w:t>
            </w:r>
          </w:p>
        </w:tc>
        <w:tc>
          <w:tcPr/>
          <w:p>
            <w:pPr>
              <w:pStyle w:val="Compact"/>
              <w:jc w:val="center"/>
            </w:pPr>
            <w:r>
              <w:t xml:space="preserve">0.484</w:t>
            </w:r>
          </w:p>
        </w:tc>
        <w:tc>
          <w:tcPr/>
          <w:p>
            <w:pPr>
              <w:pStyle w:val="Compact"/>
              <w:jc w:val="center"/>
            </w:pPr>
            <w:r>
              <w:t xml:space="preserve">0.556</w:t>
            </w:r>
          </w:p>
        </w:tc>
        <w:tc>
          <w:tcPr/>
          <w:p>
            <w:pPr>
              <w:pStyle w:val="Compact"/>
              <w:jc w:val="center"/>
            </w:pPr>
            <w:r>
              <w:t xml:space="preserve">0.875</w:t>
            </w:r>
          </w:p>
        </w:tc>
      </w:tr>
      <w:tr>
        <w:trPr>
          <w:cantSplit/>
        </w:trPr>
        <w:tc>
          <w:tcPr/>
          <w:p>
            <w:pPr>
              <w:pStyle w:val="Compact"/>
              <w:jc w:val="left"/>
            </w:pPr>
            <w:r>
              <w:t xml:space="preserve">Dense prototype</w:t>
            </w:r>
          </w:p>
        </w:tc>
        <w:tc>
          <w:tcPr/>
          <w:p>
            <w:pPr>
              <w:pStyle w:val="Compact"/>
              <w:jc w:val="center"/>
            </w:pPr>
            <w:r>
              <w:t xml:space="preserve">0.417</w:t>
            </w:r>
          </w:p>
        </w:tc>
        <w:tc>
          <w:tcPr/>
          <w:p>
            <w:pPr>
              <w:pStyle w:val="Compact"/>
              <w:jc w:val="center"/>
            </w:pPr>
            <w:r>
              <w:t xml:space="preserve">0.694</w:t>
            </w:r>
          </w:p>
        </w:tc>
        <w:tc>
          <w:tcPr/>
          <w:p>
            <w:pPr>
              <w:pStyle w:val="Compact"/>
              <w:jc w:val="center"/>
            </w:pPr>
            <w:r>
              <w:t xml:space="preserve">0.521</w:t>
            </w:r>
          </w:p>
        </w:tc>
        <w:tc>
          <w:tcPr/>
          <w:p>
            <w:pPr>
              <w:pStyle w:val="Compact"/>
              <w:jc w:val="center"/>
            </w:pPr>
            <w:r>
              <w:t xml:space="preserve">0.958</w:t>
            </w:r>
          </w:p>
        </w:tc>
      </w:tr>
    </w:tbl>
    <w:bookmarkEnd w:id="142"/>
    <w:p>
      <w:pPr>
        <w:pStyle w:val="BodyText"/>
      </w:pPr>
      <w:r>
        <w:t xml:space="preserve">Aggregate topic metrics are supported unevenly across labels. Only 26 of the 40 vocabulary labels had a positive held-out example; 14 labels had no gold support and cannot contribute an observed positive-label recall. Historical evidence revalidation resolved 119 labels by exact chunk identity and 1 by a unique same-paper locator with exact bounded-excerpt agreement. The latter is a conservative locator rebound across distinct corpus snapshots, not permission to treat snapshot identities as equal.</w:t>
      </w:r>
      <w:r>
        <w:t xml:space="preserve"> </w:t>
      </w:r>
      <w:hyperlink w:anchor="tab:topic-label-errors">
        <w:r>
          <w:rPr>
            <w:rStyle w:val="Hyperlink"/>
          </w:rPr>
          <w:t xml:space="preserve">Table 10.5</w:t>
        </w:r>
      </w:hyperlink>
      <w:r>
        <w:t xml:space="preserve"> </w:t>
      </w:r>
      <w:r>
        <w:t xml:space="preserve">reports representative confusion counts selected before manuscript drafting to include strong, weak, broad, and domain-specific behavior.</w:t>
      </w:r>
    </w:p>
    <w:bookmarkStart w:id="143" w:name="tab:topic-label-errors"/>
    <w:p>
      <w:pPr>
        <w:pStyle w:val="TableCaption"/>
      </w:pPr>
      <w:r>
        <w:t xml:space="preserve">Table 10.5. Representative held-out controlled-lexical topic errors. Precision/recall are undefined in principle when a denominator is zero; generated zero values are retained only for table consistency.</w:t>
      </w:r>
    </w:p>
    <w:tbl>
      <w:tblPr>
        <w:tblStyle w:val="Table"/>
        <w:tblW w:type="auto" w:w="0"/>
        <w:tblLook w:firstRow="1" w:lastRow="0" w:firstColumn="0" w:lastColumn="0" w:noHBand="0" w:noVBand="0" w:val="0020"/>
        <w:jc w:val="start"/>
        <w:tblCaption w:val="Table 10.5. Representative held-out controlled-lexical topic errors. Precision/recall are undefined in principle when a denominator is zero; generated zero values are retained only for table consistency."/>
      </w:tblPr>
      <w:tblGrid>
        <w:gridCol w:w="1320"/>
        <w:gridCol w:w="1320"/>
        <w:gridCol w:w="1320"/>
        <w:gridCol w:w="1320"/>
        <w:gridCol w:w="1320"/>
        <w:gridCol w:w="1320"/>
      </w:tblGrid>
      <w:tr>
        <w:trPr>
          <w:tblHeader w:val="true"/>
          <w:cantSplit/>
        </w:trPr>
        <w:tc>
          <w:tcPr/>
          <w:p>
            <w:pPr>
              <w:pStyle w:val="Compact"/>
              <w:jc w:val="left"/>
            </w:pPr>
            <w:r>
              <w:t xml:space="preserve">Label</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c>
          <w:tcPr/>
          <w:p>
            <w:pPr>
              <w:pStyle w:val="Compact"/>
              <w:jc w:val="right"/>
            </w:pPr>
            <w:r>
              <w:t xml:space="preserve">Precision</w:t>
            </w:r>
          </w:p>
        </w:tc>
        <w:tc>
          <w:tcPr/>
          <w:p>
            <w:pPr>
              <w:pStyle w:val="Compact"/>
              <w:jc w:val="right"/>
            </w:pPr>
            <w:r>
              <w:t xml:space="preserve">Recall</w:t>
            </w:r>
          </w:p>
        </w:tc>
      </w:tr>
      <w:tr>
        <w:trPr>
          <w:cantSplit/>
        </w:trPr>
        <w:tc>
          <w:tcPr/>
          <w:p>
            <w:pPr>
              <w:pStyle w:val="Compact"/>
              <w:jc w:val="left"/>
            </w:pPr>
            <w:r>
              <w:t xml:space="preserve">Agriculture</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0.667</w:t>
            </w:r>
          </w:p>
        </w:tc>
        <w:tc>
          <w:tcPr/>
          <w:p>
            <w:pPr>
              <w:pStyle w:val="Compact"/>
              <w:jc w:val="right"/>
            </w:pPr>
            <w:r>
              <w:t xml:space="preserve">1.000</w:t>
            </w:r>
          </w:p>
        </w:tc>
      </w:tr>
      <w:tr>
        <w:trPr>
          <w:cantSplit/>
        </w:trPr>
        <w:tc>
          <w:tcPr/>
          <w:p>
            <w:pPr>
              <w:pStyle w:val="Compact"/>
              <w:jc w:val="left"/>
            </w:pPr>
            <w:r>
              <w:t xml:space="preserve">AI</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0.000</w:t>
            </w:r>
          </w:p>
        </w:tc>
        <w:tc>
          <w:tcPr/>
          <w:p>
            <w:pPr>
              <w:pStyle w:val="Compact"/>
              <w:jc w:val="right"/>
            </w:pPr>
            <w:r>
              <w:t xml:space="preserve">0.000</w:t>
            </w:r>
          </w:p>
        </w:tc>
      </w:tr>
      <w:tr>
        <w:trPr>
          <w:cantSplit/>
        </w:trPr>
        <w:tc>
          <w:tcPr/>
          <w:p>
            <w:pPr>
              <w:pStyle w:val="Compact"/>
              <w:jc w:val="left"/>
            </w:pPr>
            <w:r>
              <w:t xml:space="preserve">Clustering</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0.750</w:t>
            </w:r>
          </w:p>
        </w:tc>
        <w:tc>
          <w:tcPr/>
          <w:p>
            <w:pPr>
              <w:pStyle w:val="Compact"/>
              <w:jc w:val="right"/>
            </w:pPr>
            <w:r>
              <w:t xml:space="preserve">1.000</w:t>
            </w:r>
          </w:p>
        </w:tc>
      </w:tr>
      <w:tr>
        <w:trPr>
          <w:cantSplit/>
        </w:trPr>
        <w:tc>
          <w:tcPr/>
          <w:p>
            <w:pPr>
              <w:pStyle w:val="Compact"/>
              <w:jc w:val="left"/>
            </w:pPr>
            <w:r>
              <w:t xml:space="preserve">Energy</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1.000</w:t>
            </w:r>
          </w:p>
        </w:tc>
        <w:tc>
          <w:tcPr/>
          <w:p>
            <w:pPr>
              <w:pStyle w:val="Compact"/>
              <w:jc w:val="right"/>
            </w:pPr>
            <w:r>
              <w:t xml:space="preserve">0.333</w:t>
            </w:r>
          </w:p>
        </w:tc>
      </w:tr>
      <w:tr>
        <w:trPr>
          <w:cantSplit/>
        </w:trPr>
        <w:tc>
          <w:tcPr/>
          <w:p>
            <w:pPr>
              <w:pStyle w:val="Compact"/>
              <w:jc w:val="left"/>
            </w:pPr>
            <w:r>
              <w:t xml:space="preserve">Networks</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c>
          <w:tcPr/>
          <w:p>
            <w:pPr>
              <w:pStyle w:val="Compact"/>
              <w:jc w:val="right"/>
            </w:pPr>
            <w:r>
              <w:t xml:space="preserve">0.000</w:t>
            </w:r>
          </w:p>
        </w:tc>
        <w:tc>
          <w:tcPr/>
          <w:p>
            <w:pPr>
              <w:pStyle w:val="Compact"/>
              <w:jc w:val="right"/>
            </w:pPr>
            <w:r>
              <w:t xml:space="preserve">0.000</w:t>
            </w:r>
          </w:p>
        </w:tc>
      </w:tr>
      <w:tr>
        <w:trPr>
          <w:cantSplit/>
        </w:trPr>
        <w:tc>
          <w:tcPr/>
          <w:p>
            <w:pPr>
              <w:pStyle w:val="Compact"/>
              <w:jc w:val="left"/>
            </w:pPr>
            <w:r>
              <w:t xml:space="preserve">RAG</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bl>
    <w:bookmarkEnd w:id="143"/>
    <w:p>
      <w:pPr>
        <w:pStyle w:val="BodyText"/>
      </w:pPr>
      <w:r>
        <w:t xml:space="preserve">The author audit found zero excluded-evidence leakage, alias collision, eligible authorship mismatch, excluded-paper topic link, or overclaim-output violation. It retained 13 possible same-person pairs for external confirmation and derived 313 author-topic links from eligible publications. Consequently, topic/author exploration is inspectable but not author-validated.</w:t>
      </w:r>
    </w:p>
    <w:p>
      <w:pPr>
        <w:pStyle w:val="BodyText"/>
      </w:pPr>
      <w:r>
        <w:t xml:space="preserve">Generated-output review processed all 48 stored records. 21 artifacts/recommendation records were regenerated or verified and marked</w:t>
      </w:r>
      <w:r>
        <w:t xml:space="preserve"> </w:t>
      </w:r>
      <w:r>
        <w:rPr>
          <w:rStyle w:val="VerbatimChar"/>
        </w:rPr>
        <w:t xml:space="preserve">ai_reviewed</w:t>
      </w:r>
      <w:r>
        <w:t xml:space="preserve">. 27 historical RAG answers lacked sufficient generation configuration for safe reproduction; they remain preserved as</w:t>
      </w:r>
      <w:r>
        <w:t xml:space="preserve"> </w:t>
      </w:r>
      <w:r>
        <w:rPr>
          <w:rStyle w:val="VerbatimChar"/>
        </w:rPr>
        <w:t xml:space="preserve">needs_reprocess</w:t>
      </w:r>
      <w:r>
        <w:t xml:space="preserve">. On a disposable database replay, the first pass created 21 hash-verified audit events, changed 21 records, reused 27 existing output-version events, and verified a 69-event chain. The second pass created 0 events, changed 0 records, and skipped all 48 existing items; the live database was not mutated by this replay. The RQ5 conclusion is that discovery outputs and corrections are inspectable and AI review is attributable/idempotent, while human approval, complete expertise, endorsement, and unresolved identity merges remain external.</w:t>
      </w:r>
    </w:p>
    <w:bookmarkEnd w:id="144"/>
    <w:bookmarkStart w:id="145" w:name="X635db32ab17e5e12e93baf8284b27a8397c4042"/>
    <w:p>
      <w:pPr>
        <w:pStyle w:val="Heading2"/>
      </w:pPr>
      <w:r>
        <w:rPr>
          <w:rStyle w:val="SectionNumber"/>
        </w:rPr>
        <w:t xml:space="preserve">10.6</w:t>
      </w:r>
      <w:r>
        <w:tab/>
      </w:r>
      <w:r>
        <w:t xml:space="preserve">Prospective remediation results for RQ3–RQ5 and OCR</w:t>
      </w:r>
    </w:p>
    <w:p>
      <w:pPr>
        <w:pStyle w:val="FirstParagraph"/>
      </w:pPr>
      <w:r>
        <w:t xml:space="preserve">Package completed and validated (AI-silver) binds five execution identifiers: protocol</w:t>
      </w:r>
      <w:r>
        <w:t xml:space="preserve"> </w:t>
      </w:r>
      <w:r>
        <w:rPr>
          <w:rStyle w:val="VerbatimChar"/>
        </w:rPr>
        <w:t xml:space="preserve">0d7e39b951d1</w:t>
      </w:r>
      <w:r>
        <w:t xml:space="preserve">, dataset</w:t>
      </w:r>
      <w:r>
        <w:t xml:space="preserve"> </w:t>
      </w:r>
      <w:r>
        <w:rPr>
          <w:rStyle w:val="VerbatimChar"/>
        </w:rPr>
        <w:t xml:space="preserve">daadc395aefa</w:t>
      </w:r>
      <w:r>
        <w:t xml:space="preserve">, environment</w:t>
      </w:r>
      <w:r>
        <w:t xml:space="preserve"> </w:t>
      </w:r>
      <w:r>
        <w:rPr>
          <w:rStyle w:val="VerbatimChar"/>
        </w:rPr>
        <w:t xml:space="preserve">93e43a941f8c</w:t>
      </w:r>
      <w:r>
        <w:t xml:space="preserve">, source</w:t>
      </w:r>
      <w:r>
        <w:t xml:space="preserve"> </w:t>
      </w:r>
      <w:r>
        <w:rPr>
          <w:rStyle w:val="VerbatimChar"/>
        </w:rPr>
        <w:t xml:space="preserve">0d4b9bdcb657</w:t>
      </w:r>
      <w:r>
        <w:t xml:space="preserve">, and snapshot</w:t>
      </w:r>
      <w:r>
        <w:t xml:space="preserve"> </w:t>
      </w:r>
      <w:r>
        <w:rPr>
          <w:rStyle w:val="VerbatimChar"/>
        </w:rPr>
        <w:t xml:space="preserve">f4638c633bea</w:t>
      </w:r>
      <w:r>
        <w:t xml:space="preserve">. The keyword index was complete. These fields identify an execution; they do not prove correctness.</w:t>
      </w:r>
    </w:p>
    <w:p>
      <w:pPr>
        <w:pStyle w:val="BodyText"/>
      </w:pPr>
      <w:r>
        <w:t xml:space="preserve">Selective QA over 12 cases produced answerability precision/recall 66.7% ([44.4%, 90.0%]) / 100.0% ([100.0%, 100.0%]), false-positive rate 100.0% ([100.0%, 100.0%]), and abstention 0.0% ([0.0%, 0.0%]). Locator precision was 9.1% ([0.0%, 18.8%]), citation completeness 84.6%, and point coverage 18.8% ([6.2%, 30.0%]). These test repaired contracts, not entailment. In particular, the prospective coverage estimate must not be subtracted from historical 0.1358 as if it were a paired improvement: both bind the same frozen technical snapshot, but their case sets, denominators, locator and answer constructs, and protocols differ, so the comparison is descriptive only.</w:t>
      </w:r>
    </w:p>
    <w:p>
      <w:pPr>
        <w:pStyle w:val="BodyText"/>
      </w:pPr>
      <w:r>
        <w:t xml:space="preserve">Across 5 profiles, evidence/full Hit@3 was 100.0% ([100.0%, 100.0%]) / 80.0% ([40.0%, 100.0%]), with change -20.0 pp ([-60.0 pp, +0.0 pp]). Corresponding MRRs were 0.667 and 0.600 (change -0.067). Template, fact/suggestion, unknown-time, and constraint contracts were 80.0%, 80.0%, 80.0%, and 80.0%. These are contract/proxy evidence, not usefulness, novelty, feasibility, or supervisor fit.</w:t>
      </w:r>
    </w:p>
    <w:p>
      <w:pPr>
        <w:pStyle w:val="BodyText"/>
      </w:pPr>
      <w:r>
        <w:t xml:space="preserve">Across 8 positive-only cases, recall was 75.0% ([45.5%, 100.0%]) and case coverage 62.5%; 9 predictions remained unadjudicated, so precision/F1 and public behavior are not established. OCR fixture status completed yielded character/word error 0.0%/0.0%, exact match yes, and repeatability yes; it is not scanned-corpus accuracy.</w:t>
      </w:r>
    </w:p>
    <w:bookmarkEnd w:id="145"/>
    <w:bookmarkStart w:id="146" w:name="post-evaluation-engineering-verification"/>
    <w:p>
      <w:pPr>
        <w:pStyle w:val="Heading2"/>
      </w:pPr>
      <w:r>
        <w:rPr>
          <w:rStyle w:val="SectionNumber"/>
        </w:rPr>
        <w:t xml:space="preserve">10.7</w:t>
      </w:r>
      <w:r>
        <w:tab/>
      </w:r>
      <w:r>
        <w:t xml:space="preserve">Post-evaluation engineering verification</w:t>
      </w:r>
    </w:p>
    <w:p>
      <w:pPr>
        <w:pStyle w:val="FirstParagraph"/>
      </w:pPr>
      <w:r>
        <w:t xml:space="preserve">The current implementation adds the conversational Idea Generator, local administrator sessions, feature/model controls, preview-bound bulk/publication operations, local-demo corpus warnings, dense-runtime caching, and paper-scoped Ask augmentation after the frozen evaluations. Targeted automated tests verify their typed requests/responses, authorization, stale-preview rejection, model-identity failure, alias filtering, provenance, non-persistence, and user-visible degraded states. The four Idea Generator prompts in</w:t>
      </w:r>
      <w:r>
        <w:t xml:space="preserve"> </w:t>
      </w:r>
      <w:r>
        <w:rPr>
          <w:rStyle w:val="VerbatimChar"/>
        </w:rPr>
        <w:t xml:space="preserve">data/evaluation/idea_generation_cases_v1.jsonl</w:t>
      </w:r>
      <w:r>
        <w:t xml:space="preserve"> </w:t>
      </w:r>
      <w:r>
        <w:t xml:space="preserve">are formative regression scenarios only. They have no gold ranking, human usefulness score, novelty judgment, or supervisor feasibility judgment. Consequently these additions strengthen the engineering contract and current demonstration, but do not change any v1/v2 effectiveness estimate or establish a measured improvement in research advice.</w:t>
      </w:r>
    </w:p>
    <w:bookmarkEnd w:id="146"/>
    <w:bookmarkStart w:id="148" w:name="X67bddfd9a87e3b10b6a9fe692707951bfd7c707"/>
    <w:p>
      <w:pPr>
        <w:pStyle w:val="Heading2"/>
      </w:pPr>
      <w:r>
        <w:rPr>
          <w:rStyle w:val="SectionNumber"/>
        </w:rPr>
        <w:t xml:space="preserve">10.8</w:t>
      </w:r>
      <w:r>
        <w:tab/>
      </w:r>
      <w:r>
        <w:t xml:space="preserve">RQ6: reproduction, performance, and external sanity</w:t>
      </w:r>
    </w:p>
    <w:p>
      <w:pPr>
        <w:pStyle w:val="FirstParagraph"/>
      </w:pPr>
      <w:r>
        <w:t xml:space="preserve">The final benchmark results are generated from the strictly validated</w:t>
      </w:r>
      <w:r>
        <w:t xml:space="preserve"> </w:t>
      </w:r>
      <w:r>
        <w:rPr>
          <w:rStyle w:val="VerbatimChar"/>
        </w:rPr>
        <w:t xml:space="preserve">artifacts/phase6/performance/performance_full_results.json</w:t>
      </w:r>
      <w:r>
        <w:t xml:space="preserve"> </w:t>
      </w:r>
      <w:r>
        <w:t xml:space="preserve">and summarised in</w:t>
      </w:r>
      <w:r>
        <w:t xml:space="preserve"> </w:t>
      </w:r>
      <w:hyperlink w:anchor="tab:performance-results">
        <w:r>
          <w:rPr>
            <w:rStyle w:val="Hyperlink"/>
          </w:rPr>
          <w:t xml:space="preserve">Table 10.6</w:t>
        </w:r>
      </w:hyperlink>
      <w:r>
        <w:t xml:space="preserve">. The benchmark uses 3 cold and 3 warm repetitions at concurrency one on AMD Ryzen 7 5800X 8-Core Processor with 3.8 GiB available memory under WSL2. Across all 17 workloads, 102 cold/warm samples and all 102 RSS observations passed validation with 0 failures; maximum observed process RSS was 737.4 MiB. The clean benchmark source commit is</w:t>
      </w:r>
      <w:r>
        <w:t xml:space="preserve"> </w:t>
      </w:r>
      <w:r>
        <w:rPr>
          <w:rStyle w:val="VerbatimChar"/>
        </w:rPr>
        <w:t xml:space="preserve">73092e48</w:t>
      </w:r>
      <w:r>
        <w:t xml:space="preserve"> </w:t>
      </w:r>
      <w:r>
        <w:t xml:space="preserve">and the provenance-hash prefix is</w:t>
      </w:r>
      <w:r>
        <w:t xml:space="preserve"> </w:t>
      </w:r>
      <w:r>
        <w:rPr>
          <w:rStyle w:val="VerbatimChar"/>
        </w:rPr>
        <w:t xml:space="preserve">2a71252db4f5</w:t>
      </w:r>
      <w:r>
        <w:t xml:space="preserve">.</w:t>
      </w:r>
    </w:p>
    <w:bookmarkStart w:id="147" w:name="tab:performance-results"/>
    <w:p>
      <w:pPr>
        <w:pStyle w:val="TableCaption"/>
      </w:pPr>
      <w:r>
        <w:t xml:space="preserve">Table 10.6. Selected full-corpus Phase 6 performance results. Times are seconds; p95 is a coarse interpolation over three repetitions.</w:t>
      </w:r>
    </w:p>
    <w:tbl>
      <w:tblPr>
        <w:tblStyle w:val="Table"/>
        <w:tblW w:type="auto" w:w="0"/>
        <w:tblLook w:firstRow="1" w:lastRow="0" w:firstColumn="0" w:lastColumn="0" w:noHBand="0" w:noVBand="0" w:val="0020"/>
        <w:jc w:val="start"/>
        <w:tblCaption w:val="Table 10.6. Selected full-corpus Phase 6 performance results. Times are seconds; p95 is a coarse interpolation over three repetitions."/>
      </w:tblPr>
      <w:tblGrid>
        <w:gridCol w:w="1584"/>
        <w:gridCol w:w="1584"/>
        <w:gridCol w:w="1584"/>
        <w:gridCol w:w="1584"/>
        <w:gridCol w:w="1584"/>
      </w:tblGrid>
      <w:tr>
        <w:trPr>
          <w:tblHeader w:val="true"/>
          <w:cantSplit/>
        </w:trPr>
        <w:tc>
          <w:tcPr/>
          <w:p>
            <w:pPr>
              <w:pStyle w:val="Compact"/>
              <w:jc w:val="left"/>
            </w:pPr>
            <w:r>
              <w:t xml:space="preserve">Workload</w:t>
            </w:r>
          </w:p>
        </w:tc>
        <w:tc>
          <w:tcPr/>
          <w:p>
            <w:pPr>
              <w:pStyle w:val="Compact"/>
              <w:jc w:val="right"/>
            </w:pPr>
            <w:r>
              <w:t xml:space="preserve">Cold median</w:t>
            </w:r>
          </w:p>
        </w:tc>
        <w:tc>
          <w:tcPr/>
          <w:p>
            <w:pPr>
              <w:pStyle w:val="Compact"/>
              <w:jc w:val="right"/>
            </w:pPr>
            <w:r>
              <w:t xml:space="preserve">Cold p95</w:t>
            </w:r>
          </w:p>
        </w:tc>
        <w:tc>
          <w:tcPr/>
          <w:p>
            <w:pPr>
              <w:pStyle w:val="Compact"/>
              <w:jc w:val="right"/>
            </w:pPr>
            <w:r>
              <w:t xml:space="preserve">Warm median</w:t>
            </w:r>
          </w:p>
        </w:tc>
        <w:tc>
          <w:tcPr/>
          <w:p>
            <w:pPr>
              <w:pStyle w:val="Compact"/>
              <w:jc w:val="right"/>
            </w:pPr>
            <w:r>
              <w:t xml:space="preserve">Warm p95</w:t>
            </w:r>
          </w:p>
        </w:tc>
      </w:tr>
      <w:tr>
        <w:trPr>
          <w:cantSplit/>
        </w:trPr>
        <w:tc>
          <w:tcPr/>
          <w:p>
            <w:pPr>
              <w:pStyle w:val="Compact"/>
              <w:jc w:val="left"/>
            </w:pPr>
            <w:r>
              <w:t xml:space="preserve">Dense indexing</w:t>
            </w:r>
          </w:p>
        </w:tc>
        <w:tc>
          <w:tcPr/>
          <w:p>
            <w:pPr>
              <w:pStyle w:val="Compact"/>
              <w:jc w:val="right"/>
            </w:pPr>
            <w:r>
              <w:t xml:space="preserve">153.033</w:t>
            </w:r>
          </w:p>
        </w:tc>
        <w:tc>
          <w:tcPr/>
          <w:p>
            <w:pPr>
              <w:pStyle w:val="Compact"/>
              <w:jc w:val="right"/>
            </w:pPr>
            <w:r>
              <w:t xml:space="preserve">154.315</w:t>
            </w:r>
          </w:p>
        </w:tc>
        <w:tc>
          <w:tcPr/>
          <w:p>
            <w:pPr>
              <w:pStyle w:val="Compact"/>
              <w:jc w:val="right"/>
            </w:pPr>
            <w:r>
              <w:t xml:space="preserve">75.343</w:t>
            </w:r>
          </w:p>
        </w:tc>
        <w:tc>
          <w:tcPr/>
          <w:p>
            <w:pPr>
              <w:pStyle w:val="Compact"/>
              <w:jc w:val="right"/>
            </w:pPr>
            <w:r>
              <w:t xml:space="preserve">146.302</w:t>
            </w:r>
          </w:p>
        </w:tc>
      </w:tr>
      <w:tr>
        <w:trPr>
          <w:cantSplit/>
        </w:trPr>
        <w:tc>
          <w:tcPr/>
          <w:p>
            <w:pPr>
              <w:pStyle w:val="Compact"/>
              <w:jc w:val="left"/>
            </w:pPr>
            <w:r>
              <w:t xml:space="preserve">Keyword retrieval</w:t>
            </w:r>
          </w:p>
        </w:tc>
        <w:tc>
          <w:tcPr/>
          <w:p>
            <w:pPr>
              <w:pStyle w:val="Compact"/>
              <w:jc w:val="right"/>
            </w:pPr>
            <w:r>
              <w:t xml:space="preserve">5.390</w:t>
            </w:r>
          </w:p>
        </w:tc>
        <w:tc>
          <w:tcPr/>
          <w:p>
            <w:pPr>
              <w:pStyle w:val="Compact"/>
              <w:jc w:val="right"/>
            </w:pPr>
            <w:r>
              <w:t xml:space="preserve">5.898</w:t>
            </w:r>
          </w:p>
        </w:tc>
        <w:tc>
          <w:tcPr/>
          <w:p>
            <w:pPr>
              <w:pStyle w:val="Compact"/>
              <w:jc w:val="right"/>
            </w:pPr>
            <w:r>
              <w:t xml:space="preserve">1.639</w:t>
            </w:r>
          </w:p>
        </w:tc>
        <w:tc>
          <w:tcPr/>
          <w:p>
            <w:pPr>
              <w:pStyle w:val="Compact"/>
              <w:jc w:val="right"/>
            </w:pPr>
            <w:r>
              <w:t xml:space="preserve">5.071</w:t>
            </w:r>
          </w:p>
        </w:tc>
      </w:tr>
      <w:tr>
        <w:trPr>
          <w:cantSplit/>
        </w:trPr>
        <w:tc>
          <w:tcPr/>
          <w:p>
            <w:pPr>
              <w:pStyle w:val="Compact"/>
              <w:jc w:val="left"/>
            </w:pPr>
            <w:r>
              <w:t xml:space="preserve">Dense retrieval</w:t>
            </w:r>
          </w:p>
        </w:tc>
        <w:tc>
          <w:tcPr/>
          <w:p>
            <w:pPr>
              <w:pStyle w:val="Compact"/>
              <w:jc w:val="right"/>
            </w:pPr>
            <w:r>
              <w:t xml:space="preserve">80.473</w:t>
            </w:r>
          </w:p>
        </w:tc>
        <w:tc>
          <w:tcPr/>
          <w:p>
            <w:pPr>
              <w:pStyle w:val="Compact"/>
              <w:jc w:val="right"/>
            </w:pPr>
            <w:r>
              <w:t xml:space="preserve">80.579</w:t>
            </w:r>
          </w:p>
        </w:tc>
        <w:tc>
          <w:tcPr/>
          <w:p>
            <w:pPr>
              <w:pStyle w:val="Compact"/>
              <w:jc w:val="right"/>
            </w:pPr>
            <w:r>
              <w:t xml:space="preserve">4.580</w:t>
            </w:r>
          </w:p>
        </w:tc>
        <w:tc>
          <w:tcPr/>
          <w:p>
            <w:pPr>
              <w:pStyle w:val="Compact"/>
              <w:jc w:val="right"/>
            </w:pPr>
            <w:r>
              <w:t xml:space="preserve">69.943</w:t>
            </w:r>
          </w:p>
        </w:tc>
      </w:tr>
      <w:tr>
        <w:trPr>
          <w:cantSplit/>
        </w:trPr>
        <w:tc>
          <w:tcPr/>
          <w:p>
            <w:pPr>
              <w:pStyle w:val="Compact"/>
              <w:jc w:val="left"/>
            </w:pPr>
            <w:r>
              <w:t xml:space="preserve">Hybrid retrieval</w:t>
            </w:r>
          </w:p>
        </w:tc>
        <w:tc>
          <w:tcPr/>
          <w:p>
            <w:pPr>
              <w:pStyle w:val="Compact"/>
              <w:jc w:val="right"/>
            </w:pPr>
            <w:r>
              <w:t xml:space="preserve">83.195</w:t>
            </w:r>
          </w:p>
        </w:tc>
        <w:tc>
          <w:tcPr/>
          <w:p>
            <w:pPr>
              <w:pStyle w:val="Compact"/>
              <w:jc w:val="right"/>
            </w:pPr>
            <w:r>
              <w:t xml:space="preserve">85.775</w:t>
            </w:r>
          </w:p>
        </w:tc>
        <w:tc>
          <w:tcPr/>
          <w:p>
            <w:pPr>
              <w:pStyle w:val="Compact"/>
              <w:jc w:val="right"/>
            </w:pPr>
            <w:r>
              <w:t xml:space="preserve">9.084</w:t>
            </w:r>
          </w:p>
        </w:tc>
        <w:tc>
          <w:tcPr/>
          <w:p>
            <w:pPr>
              <w:pStyle w:val="Compact"/>
              <w:jc w:val="right"/>
            </w:pPr>
            <w:r>
              <w:t xml:space="preserve">77.882</w:t>
            </w:r>
          </w:p>
        </w:tc>
      </w:tr>
      <w:tr>
        <w:trPr>
          <w:cantSplit/>
        </w:trPr>
        <w:tc>
          <w:tcPr/>
          <w:p>
            <w:pPr>
              <w:pStyle w:val="Compact"/>
              <w:jc w:val="left"/>
            </w:pPr>
            <w:r>
              <w:t xml:space="preserve">Offline answer</w:t>
            </w:r>
          </w:p>
        </w:tc>
        <w:tc>
          <w:tcPr/>
          <w:p>
            <w:pPr>
              <w:pStyle w:val="Compact"/>
              <w:jc w:val="right"/>
            </w:pPr>
            <w:r>
              <w:t xml:space="preserve">83.628</w:t>
            </w:r>
          </w:p>
        </w:tc>
        <w:tc>
          <w:tcPr/>
          <w:p>
            <w:pPr>
              <w:pStyle w:val="Compact"/>
              <w:jc w:val="right"/>
            </w:pPr>
            <w:r>
              <w:t xml:space="preserve">84.276</w:t>
            </w:r>
          </w:p>
        </w:tc>
        <w:tc>
          <w:tcPr/>
          <w:p>
            <w:pPr>
              <w:pStyle w:val="Compact"/>
              <w:jc w:val="right"/>
            </w:pPr>
            <w:r>
              <w:t xml:space="preserve">9.052</w:t>
            </w:r>
          </w:p>
        </w:tc>
        <w:tc>
          <w:tcPr/>
          <w:p>
            <w:pPr>
              <w:pStyle w:val="Compact"/>
              <w:jc w:val="right"/>
            </w:pPr>
            <w:r>
              <w:t xml:space="preserve">77.127</w:t>
            </w:r>
          </w:p>
        </w:tc>
      </w:tr>
      <w:tr>
        <w:trPr>
          <w:cantSplit/>
        </w:trPr>
        <w:tc>
          <w:tcPr/>
          <w:p>
            <w:pPr>
              <w:pStyle w:val="Compact"/>
              <w:jc w:val="left"/>
            </w:pPr>
            <w:r>
              <w:t xml:space="preserve">Recommendation</w:t>
            </w:r>
          </w:p>
        </w:tc>
        <w:tc>
          <w:tcPr/>
          <w:p>
            <w:pPr>
              <w:pStyle w:val="Compact"/>
              <w:jc w:val="right"/>
            </w:pPr>
            <w:r>
              <w:t xml:space="preserve">7.157</w:t>
            </w:r>
          </w:p>
        </w:tc>
        <w:tc>
          <w:tcPr/>
          <w:p>
            <w:pPr>
              <w:pStyle w:val="Compact"/>
              <w:jc w:val="right"/>
            </w:pPr>
            <w:r>
              <w:t xml:space="preserve">7.407</w:t>
            </w:r>
          </w:p>
        </w:tc>
        <w:tc>
          <w:tcPr/>
          <w:p>
            <w:pPr>
              <w:pStyle w:val="Compact"/>
              <w:jc w:val="right"/>
            </w:pPr>
            <w:r>
              <w:t xml:space="preserve">3.410</w:t>
            </w:r>
          </w:p>
        </w:tc>
        <w:tc>
          <w:tcPr/>
          <w:p>
            <w:pPr>
              <w:pStyle w:val="Compact"/>
              <w:jc w:val="right"/>
            </w:pPr>
            <w:r>
              <w:t xml:space="preserve">6.650</w:t>
            </w:r>
          </w:p>
        </w:tc>
      </w:tr>
      <w:tr>
        <w:trPr>
          <w:cantSplit/>
        </w:trPr>
        <w:tc>
          <w:tcPr/>
          <w:p>
            <w:pPr>
              <w:pStyle w:val="Compact"/>
              <w:jc w:val="left"/>
            </w:pPr>
            <w:r>
              <w:t xml:space="preserve">ASGI endpoint set</w:t>
            </w:r>
          </w:p>
        </w:tc>
        <w:tc>
          <w:tcPr/>
          <w:p>
            <w:pPr>
              <w:pStyle w:val="Compact"/>
              <w:jc w:val="right"/>
            </w:pPr>
            <w:r>
              <w:t xml:space="preserve">81.709</w:t>
            </w:r>
          </w:p>
        </w:tc>
        <w:tc>
          <w:tcPr/>
          <w:p>
            <w:pPr>
              <w:pStyle w:val="Compact"/>
              <w:jc w:val="right"/>
            </w:pPr>
            <w:r>
              <w:t xml:space="preserve">82.840</w:t>
            </w:r>
          </w:p>
        </w:tc>
        <w:tc>
          <w:tcPr/>
          <w:p>
            <w:pPr>
              <w:pStyle w:val="Compact"/>
              <w:jc w:val="right"/>
            </w:pPr>
            <w:r>
              <w:t xml:space="preserve">5.712</w:t>
            </w:r>
          </w:p>
        </w:tc>
        <w:tc>
          <w:tcPr/>
          <w:p>
            <w:pPr>
              <w:pStyle w:val="Compact"/>
              <w:jc w:val="right"/>
            </w:pPr>
            <w:r>
              <w:t xml:space="preserve">76.504</w:t>
            </w:r>
          </w:p>
        </w:tc>
      </w:tr>
      <w:tr>
        <w:trPr>
          <w:cantSplit/>
        </w:trPr>
        <w:tc>
          <w:tcPr/>
          <w:p>
            <w:pPr>
              <w:pStyle w:val="Compact"/>
              <w:jc w:val="left"/>
            </w:pPr>
            <w:r>
              <w:t xml:space="preserve">Frontend route set</w:t>
            </w:r>
          </w:p>
        </w:tc>
        <w:tc>
          <w:tcPr/>
          <w:p>
            <w:pPr>
              <w:pStyle w:val="Compact"/>
              <w:jc w:val="right"/>
            </w:pPr>
            <w:r>
              <w:t xml:space="preserve">13.732</w:t>
            </w:r>
          </w:p>
        </w:tc>
        <w:tc>
          <w:tcPr/>
          <w:p>
            <w:pPr>
              <w:pStyle w:val="Compact"/>
              <w:jc w:val="right"/>
            </w:pPr>
            <w:r>
              <w:t xml:space="preserve">13.763</w:t>
            </w:r>
          </w:p>
        </w:tc>
        <w:tc>
          <w:tcPr/>
          <w:p>
            <w:pPr>
              <w:pStyle w:val="Compact"/>
              <w:jc w:val="right"/>
            </w:pPr>
            <w:r>
              <w:t xml:space="preserve">13.307</w:t>
            </w:r>
          </w:p>
        </w:tc>
        <w:tc>
          <w:tcPr/>
          <w:p>
            <w:pPr>
              <w:pStyle w:val="Compact"/>
              <w:jc w:val="right"/>
            </w:pPr>
            <w:r>
              <w:t xml:space="preserve">13.422</w:t>
            </w:r>
          </w:p>
        </w:tc>
      </w:tr>
    </w:tbl>
    <w:bookmarkEnd w:id="147"/>
    <w:p>
      <w:pPr>
        <w:pStyle w:val="BodyText"/>
      </w:pPr>
      <w:r>
        <w:t xml:space="preserve">The external sanity harness mapped three CC BY JATS/XML articles into the production chunker contract and achieved 3/3 fixed lexical top-one matches; it did not validate the main PDF-ingestion pipeline or cross-domain retrieval quality.</w:t>
      </w:r>
    </w:p>
    <w:p>
      <w:pPr>
        <w:pStyle w:val="BodyText"/>
      </w:pPr>
      <w:r>
        <w:t xml:space="preserve">The sanitized release scanner excludes PDFs, SQLite, indexes, local paths, secrets, raw/full extracted text, interface screenshots, private prompts, and raw Europe PMC XML. It verifies safe archive members and per-file/archive SHA-256 checksums. The final engineering, document, preflight, release, and reproduction outcomes are recorded in</w:t>
      </w:r>
      <w:r>
        <w:t xml:space="preserve"> </w:t>
      </w:r>
      <w:r>
        <w:rPr>
          <w:rStyle w:val="VerbatimChar"/>
        </w:rPr>
        <w:t xml:space="preserve">thesis/PROJECT_EVIDENCE.md</w:t>
      </w:r>
      <w:r>
        <w:t xml:space="preserve">. The bounded RQ6 conclusion is local reproducibility and operational characterization under the documented configuration, privacy-minimizing release, and limited JATS/XML format compatibility. Production scale, main-pipeline external PDF compatibility, and unrestricted corpus reproduction are not established.</w:t>
      </w:r>
    </w:p>
    <w:bookmarkEnd w:id="148"/>
    <w:bookmarkStart w:id="149" w:name="X4680350f45962260c914a5ac2743a00e03b29d8"/>
    <w:p>
      <w:pPr>
        <w:pStyle w:val="Heading2"/>
      </w:pPr>
      <w:r>
        <w:rPr>
          <w:rStyle w:val="SectionNumber"/>
        </w:rPr>
        <w:t xml:space="preserve">10.9</w:t>
      </w:r>
      <w:r>
        <w:tab/>
      </w:r>
      <w:r>
        <w:t xml:space="preserve">RQ7: evidence-interface and governance contracts</w:t>
      </w:r>
    </w:p>
    <w:p>
      <w:pPr>
        <w:pStyle w:val="FirstParagraph"/>
      </w:pPr>
      <w:r>
        <w:t xml:space="preserve">The frozen public runtime probe exercised statistics, browse/detail, search diagnostics, transient Ask, transient Finder, explorer, evaluation, and readiness paths against a copied database or read-only source state. Because no paper met the independent publication-and-rights predicate, evidence-bearing production routes returned empty/degraded states and did not substitute the technical evaluation corpus. Subsequent tests cover the explicitly labelled loopback-only technical preview without treating it as publication approval. They also confirm that Ask/Finder/Idea Generator calls do not add public history records and that anonymous Admin access is denied. Backend security tests cover session and bearer roles, CSRF, lockout/expiry, stale bulk previews, production fail-closed configuration, correction-driven reopening, AI-versus-human transition restrictions, serialization, path/URL limits, redacted logging, and review-event immutability.</w:t>
      </w:r>
    </w:p>
    <w:p>
      <w:pPr>
        <w:pStyle w:val="BodyText"/>
      </w:pPr>
      <w:r>
        <w:t xml:space="preserve">The frontend production build and route/component/browser suites exercise the Dashboard, Paper Browser/Detail, Search, Ask, Idea Generator, Topic/Author Explorer, Evaluation, and protected Admin Control. Ask exposes its generated/transient notice, provider, structural-grounding boundary, citations, pages, and no-citation/error states. The Idea Generator exposes transient conversation, paper-match status, per-idea basis, citations, provider/model/time, warnings, and retryable service/schema failures. The structured Finder remains backend and historical evaluation evidence rather than the current public form. Evaluation displays reviewer/dataset boundaries and missing-result states. Admin Control requires an authenticated session or scoped service actor and renders queues, feature/model/account state, preview/execute operations, ingestion status, corrections, and event history.</w:t>
      </w:r>
    </w:p>
    <w:p>
      <w:pPr>
        <w:pStyle w:val="BodyText"/>
      </w:pPr>
      <w:r>
        <w:t xml:space="preserve">Automated accessibility regressions cover semantic headings/landmarks, programmatic labels, keyboard focus, reduced motion, table/chart alternatives, and responsive routes at the documented viewport set. These checks passed in the recorded candidate, but they are conformance aids rather than a WCAG audit. No participant or assistive-technology study was conducted. The RQ7 conclusion is therefore that evidence, uncertainty, transient-input, authorization, failure-recovery, and correction contracts are implemented and testable. Comprehension, trust, task success, accessibility conformance, and production operational governance remain unestablished.</w:t>
      </w:r>
    </w:p>
    <w:bookmarkEnd w:id="149"/>
    <w:bookmarkEnd w:id="150"/>
    <w:bookmarkStart w:id="159" w:name="ch:discussion"/>
    <w:p>
      <w:pPr>
        <w:pStyle w:val="Heading1"/>
      </w:pPr>
      <w:r>
        <w:rPr>
          <w:rStyle w:val="SectionNumber"/>
        </w:rPr>
        <w:t xml:space="preserve">11</w:t>
      </w:r>
      <w:r>
        <w:tab/>
      </w:r>
      <w:r>
        <w:t xml:space="preserve">Discussion</w:t>
      </w:r>
    </w:p>
    <w:bookmarkStart w:id="151" w:name="X8ec3230403fc80a76212a88c094d6c6c229b162"/>
    <w:p>
      <w:pPr>
        <w:pStyle w:val="Heading2"/>
      </w:pPr>
      <w:r>
        <w:rPr>
          <w:rStyle w:val="SectionNumber"/>
        </w:rPr>
        <w:t xml:space="preserve">11.1</w:t>
      </w:r>
      <w:r>
        <w:tab/>
      </w:r>
      <w:r>
        <w:t xml:space="preserve">Traceability is an engineering property, not an accuracy score</w:t>
      </w:r>
    </w:p>
    <w:p>
      <w:pPr>
        <w:pStyle w:val="FirstParagraph"/>
      </w:pPr>
      <w:r>
        <w:t xml:space="preserve">The platform now preserves paper, chunk, page/section, extraction/chunk/index generation, provider/configuration, warning, timestamp, and review state through its principal workflows. Validated active-generation pointers eliminate the earlier ambiguity between index files and stale database flags. These are meaningful engineering results because they make an output auditable and stale derived state detectable. They do not make the output correct.</w:t>
      </w:r>
    </w:p>
    <w:p>
      <w:pPr>
        <w:pStyle w:val="BodyText"/>
      </w:pPr>
      <w:r>
        <w:t xml:space="preserve">The historical QA evaluation illustrates the distinction. Extractive composition largely avoided unsupported statements by copying supported passages, yet claim–citation choice and strict answer-point coverage were much weaker: only 11/81 points were covered (0.1358). It selected off-topic evidence and omitted requested information even when every sentence carried a locator. The prospective run separately tests the repaired selective-response and exact-locator contracts; its citation precision is 9.1% and answer-point coverage 18.8% ([6.2%, 30.0%]). These historical and prospective estimates share the frozen technical snapshot but are non-paired and only descriptively comparable because the cases, denominators, locator and answer constructs, and protocols differ. Neither measure turns a matching locator into entailment. Traceability reduces the cost of diagnosis; it does not substitute for diagnosis.</w:t>
      </w:r>
    </w:p>
    <w:bookmarkEnd w:id="151"/>
    <w:bookmarkStart w:id="152" w:name="X45ceba9dbce7f5d9478576ab3910a46cf9f0a98"/>
    <w:p>
      <w:pPr>
        <w:pStyle w:val="Heading2"/>
      </w:pPr>
      <w:r>
        <w:rPr>
          <w:rStyle w:val="SectionNumber"/>
        </w:rPr>
        <w:t xml:space="preserve">11.2</w:t>
      </w:r>
      <w:r>
        <w:tab/>
      </w:r>
      <w:r>
        <w:t xml:space="preserve">Simple lexical retrieval remained competitive</w:t>
      </w:r>
    </w:p>
    <w:p>
      <w:pPr>
        <w:pStyle w:val="FirstParagraph"/>
      </w:pPr>
      <w:r>
        <w:t xml:space="preserve">Keyword retrieval produced the highest held-out MRR and nDCG@10 point estimates. Learned dense was close, but the study was not designed as an equivalence or non-inferiority test. The tuned hybrid ranked below both and did not yield a corrected significant gain even over feature hashing. This agrees with the broader lesson of heterogeneous retrieval benchmarks: learned representations are not automatically superior for every corpus</w:t>
      </w:r>
      <w:r>
        <w:t xml:space="preserve"> </w:t>
      </w:r>
      <w:r>
        <w:t xml:space="preserve">[15]</w:t>
      </w:r>
      <w:r>
        <w:t xml:space="preserve">.</w:t>
      </w:r>
    </w:p>
    <w:p>
      <w:pPr>
        <w:pStyle w:val="BodyText"/>
      </w:pPr>
      <w:r>
        <w:t xml:space="preserve">Several features may explain the keyword result without establishing causality. The laboratory questions and paper titles share specialised vocabulary; relevant-paper labels may favour explicit lexical matches; the corpus is small; and the candidate pool is already rich. The post-selection ablation showing a stronger cumulative configuration is hypothesis-generating, not an invitation to retune on the held-out set. A future release needs a larger preregistered test partition and hard paraphrase cases.</w:t>
      </w:r>
    </w:p>
    <w:bookmarkEnd w:id="152"/>
    <w:bookmarkStart w:id="153" w:name="Xb2e4ee6aad4816959ce3dc32dd7afa8de8c8537"/>
    <w:p>
      <w:pPr>
        <w:pStyle w:val="Heading2"/>
      </w:pPr>
      <w:r>
        <w:rPr>
          <w:rStyle w:val="SectionNumber"/>
        </w:rPr>
        <w:t xml:space="preserve">11.3</w:t>
      </w:r>
      <w:r>
        <w:tab/>
      </w:r>
      <w:r>
        <w:t xml:space="preserve">Selective response is prospectively re-evaluated</w:t>
      </w:r>
    </w:p>
    <w:p>
      <w:pPr>
        <w:pStyle w:val="FirstParagraph"/>
      </w:pPr>
      <w:r>
        <w:t xml:space="preserve">Historical v1 retrieval returned a positive result on its lone held-out unanswerable case. In the historical QA set, the answerer returned 49 responses and 1 abstention overall, abstaining on 1/4 unanswerable cases. The repaired fixed coverage gate is evaluated prospectively: answerability precision is 66.7% with false-positive rate 100.0% and abstention rate 0.0%. Although the frozen technical snapshot is shared, the prospective cases, denominators, and answerability protocol differ, so this is not a paired before/after effect estimate. It is bounded evidence about the implemented selective-response contract, and the set remains small and source-derived. A later protocol should expand adversarial and out-of-corpus cases and report risk jointly with retained answer coverage.</w:t>
      </w:r>
    </w:p>
    <w:bookmarkEnd w:id="153"/>
    <w:bookmarkStart w:id="154" w:name="Xdbe8a2cdd8c2de7c6998a8f709195589c8f468f"/>
    <w:p>
      <w:pPr>
        <w:pStyle w:val="Heading2"/>
      </w:pPr>
      <w:r>
        <w:rPr>
          <w:rStyle w:val="SectionNumber"/>
        </w:rPr>
        <w:t xml:space="preserve">11.4</w:t>
      </w:r>
      <w:r>
        <w:tab/>
      </w:r>
      <w:r>
        <w:t xml:space="preserve">Recommendation structure is stronger than recommendation validation</w:t>
      </w:r>
    </w:p>
    <w:p>
      <w:pPr>
        <w:pStyle w:val="FirstParagraph"/>
      </w:pPr>
      <w:r>
        <w:t xml:space="preserve">The extension schema separates baseline evidence, explicit versus inferred gaps, system suggestions, MVP/stretch scope, risk, skills, data assumptions, and evaluation plans. Historical review found that the evidence-only arm filled 84/84 requested ranks but the full Finder filled only 67/84, with 17 missing slots scored as zero. Full-Finder AI-proxy relevance was 0.595 versus 0.631 for the baseline, a paired change of -0.036 (-0.119–0.048); improvement was not demonstrated. Conditional on the 67 emitted items, separation passed 66, feasibility failed 67, and AI-proxy usefulness failed 67. These failures mean that the evidence did not establish those properties, not that every proposed project is infeasible or useless. The prospective paired test measures a separate ranking and contract protocol: its Hit@3 change is -20.0 pp ([-60.0 pp, +0.0 pp]), while fact/suggestion separation is 80.0% and unknown-time retention 80.0%. Neither protocol establishes student usefulness, novelty, real feasibility, or supervisor fit. The structured Finder remains an evaluated brainstorming aid, and evidence-only mode lets a cautious user stop before generated advice.</w:t>
      </w:r>
    </w:p>
    <w:p>
      <w:pPr>
        <w:pStyle w:val="BodyText"/>
      </w:pPr>
      <w:r>
        <w:t xml:space="preserve">The newer conversational Idea Generator improves interaction and failure transparency, not the frozen effectiveness result. Its schema, alias validation, paper-informed/general basis, strict local-provider policy, and transient history reduce specific presentation and provenance risks. The four formative prompts and automated tests establish that these code paths behave as specified under fixtures. They do not show that the generated directions are better than Finder output, novel, feasible, or useful to students. Treating the feature as impressive engineering while preserving this limit is more defensible than transferring the Finder metrics to it.</w:t>
      </w:r>
    </w:p>
    <w:bookmarkEnd w:id="154"/>
    <w:bookmarkStart w:id="155" w:name="Xac1a3fb38161232697c5210c072d5ffb82a2bf3"/>
    <w:p>
      <w:pPr>
        <w:pStyle w:val="Heading2"/>
      </w:pPr>
      <w:r>
        <w:rPr>
          <w:rStyle w:val="SectionNumber"/>
        </w:rPr>
        <w:t xml:space="preserve">11.5</w:t>
      </w:r>
      <w:r>
        <w:tab/>
      </w:r>
      <w:r>
        <w:t xml:space="preserve">Controlled discovery favors inspectability</w:t>
      </w:r>
    </w:p>
    <w:p>
      <w:pPr>
        <w:pStyle w:val="FirstParagraph"/>
      </w:pPr>
      <w:r>
        <w:t xml:space="preserve">Historical topic comparison exposed a practical trade-off: the dense prototype increased coverage/recall but reduced precision, while controlled rules were deterministic and editable. Revalidation retained 119 exact chunk bindings and allowed 1 conservative rebound only after a unique same-paper locator and exact excerpt match. That exception addresses identifier drift across distinct snapshots; it does not collapse the snapshots or independently re-adjudicate the topic label. The prospective positive-only set instead asks whether known positives are recovered, yielding recall 75.0% while leaving 9 additional predictions unadjudicated. It cannot confirm precision or expertise. The remaining 13 identity candidates show why automatic name merging is intentionally conservative. Publication-derived relations should remain qualified even after identity resolution.</w:t>
      </w:r>
    </w:p>
    <w:bookmarkEnd w:id="155"/>
    <w:bookmarkStart w:id="156" w:name="X1f0763ad8ecec99f12194d9ba8f90c98170690c"/>
    <w:p>
      <w:pPr>
        <w:pStyle w:val="Heading2"/>
      </w:pPr>
      <w:r>
        <w:rPr>
          <w:rStyle w:val="SectionNumber"/>
        </w:rPr>
        <w:t xml:space="preserve">11.6</w:t>
      </w:r>
      <w:r>
        <w:tab/>
      </w:r>
      <w:r>
        <w:t xml:space="preserve">Review and governance as first-class data</w:t>
      </w:r>
    </w:p>
    <w:p>
      <w:pPr>
        <w:pStyle w:val="FirstParagraph"/>
      </w:pPr>
      <w:r>
        <w:t xml:space="preserve">Append-only AI review events close the earlier empty-governance state and demonstrate deterministic idempotence. The design does not conflate that activity with human approval: reproducible outputs are AI-reviewed, while configuration-incomplete historical answers remain needs-reprocess. Local account sessions, scoped service actors, CSRF checks, chain hashes, and actor-bound preview/execute operations make future review attributable and reject stale bulk state. A deployed institution still needs operational ownership, identity lifecycle, correction response times, and legal/privacy decisions.</w:t>
      </w:r>
    </w:p>
    <w:bookmarkEnd w:id="156"/>
    <w:bookmarkStart w:id="157" w:name="X5bfa58b56bf16308aeba74e2e8ed16a9a583bf1"/>
    <w:p>
      <w:pPr>
        <w:pStyle w:val="Heading2"/>
      </w:pPr>
      <w:r>
        <w:rPr>
          <w:rStyle w:val="SectionNumber"/>
        </w:rPr>
        <w:t xml:space="preserve">11.7</w:t>
      </w:r>
      <w:r>
        <w:tab/>
      </w:r>
      <w:r>
        <w:t xml:space="preserve">Interface conformance is not human validation</w:t>
      </w:r>
    </w:p>
    <w:p>
      <w:pPr>
        <w:pStyle w:val="FirstParagraph"/>
      </w:pPr>
      <w:r>
        <w:t xml:space="preserve">The requirement–API–view–test trace shows that implemented public and protected flows preserve warnings, request-lifecycle boundaries, authorization, and correction state under tested conditions. At the evaluated snapshot the strict public projection is empty, which makes fail-closed behavior testable but provides no evidence about a populated production experience. The labelled local preview improves demonstration access but is not a rights decision. A semantic label can exist while remaining confusing; keyboard focus can be visible while a screen-reader workflow remains inefficient; and an Idea Generator warning can render while a student still over-trusts the suggestion. RQ7 therefore closes an engineering traceability gap without converting automated conformance into usability, accessibility, trust, or educational evidence.</w:t>
      </w:r>
    </w:p>
    <w:bookmarkEnd w:id="157"/>
    <w:bookmarkStart w:id="158" w:name="reproducibility-with-rights-constraints"/>
    <w:p>
      <w:pPr>
        <w:pStyle w:val="Heading2"/>
      </w:pPr>
      <w:r>
        <w:rPr>
          <w:rStyle w:val="SectionNumber"/>
        </w:rPr>
        <w:t xml:space="preserve">11.8</w:t>
      </w:r>
      <w:r>
        <w:tab/>
      </w:r>
      <w:r>
        <w:t xml:space="preserve">Reproducibility with rights constraints</w:t>
      </w:r>
    </w:p>
    <w:p>
      <w:pPr>
        <w:pStyle w:val="FirstParagraph"/>
      </w:pPr>
      <w:r>
        <w:t xml:space="preserve">An exact full-corpus replication requires lawful access to the third-party papers; publishing their text would improve convenience by violating the evidential and rights boundary. The sanitized release therefore favours computational transparency over unrestricted data redistribution. It includes code, schemas, labels, sanitized results, prompts/configurations, hashes, code-native figure sources, and instructions, while requiring recipients to reacquire permitted documents. Interface screenshots are excluded because rendered source/answer text cannot be field-redacted reliably. The external sanity harness mapped open JATS/XML documents into the production chunker’s extraction contract. It did not exercise the primary PDF-ingestion path, and a few life-science articles do not establish domain transfer.</w:t>
      </w:r>
    </w:p>
    <w:bookmarkEnd w:id="158"/>
    <w:bookmarkEnd w:id="159"/>
    <w:bookmarkStart w:id="167" w:name="ch:limitations"/>
    <w:p>
      <w:pPr>
        <w:pStyle w:val="Heading1"/>
      </w:pPr>
      <w:r>
        <w:rPr>
          <w:rStyle w:val="SectionNumber"/>
        </w:rPr>
        <w:t xml:space="preserve">12</w:t>
      </w:r>
      <w:r>
        <w:tab/>
      </w:r>
      <w:r>
        <w:t xml:space="preserve">Limitations, Ethics and Threats to Validity</w:t>
      </w:r>
    </w:p>
    <w:bookmarkStart w:id="160" w:name="technical-and-empirical-limitations"/>
    <w:p>
      <w:pPr>
        <w:pStyle w:val="Heading2"/>
      </w:pPr>
      <w:r>
        <w:rPr>
          <w:rStyle w:val="SectionNumber"/>
        </w:rPr>
        <w:t xml:space="preserve">12.1</w:t>
      </w:r>
      <w:r>
        <w:tab/>
      </w:r>
      <w:r>
        <w:t xml:space="preserve">Technical and empirical limitations</w:t>
      </w:r>
    </w:p>
    <w:p>
      <w:pPr>
        <w:pStyle w:val="FirstParagraph"/>
      </w:pPr>
      <w:r>
        <w:t xml:space="preserve">Only 96 of 134 records enter full-text experiments; 36 lack text and 2 mismatches require review. Extraction is heuristic, corpus OCR was not run, and the fixture is not scanned-corpus accuracy. 199 chunks lack sections, metadata are incomplete, 13 identities remain unresolved, and the empty public projection supplies no populated-public evidence.</w:t>
      </w:r>
    </w:p>
    <w:p>
      <w:pPr>
        <w:pStyle w:val="BodyText"/>
      </w:pPr>
      <w:r>
        <w:t xml:space="preserve">Historical v1 retrieval has 50 AI-silver cases and 20 held out, including one unanswerable; pools may omit relevance, unjudged documents count negative, and ablation was post-selection. Historical QA covered only 11/81 strict points and contains 4 unanswerable cases, while historical Finder comparison includes 17 unfilled full-Finder ranks scored as zero. Its item-level judgments are conditional on the 67 emitted outputs. Prospective sets are also small, source-derived and technical-only. Historical and prospective QA results share the frozen technical snapshot but use different cases, denominators, locator and answer constructs, and protocols, so they are descriptive rather than paired before/after estimates. All intervals omit label and corpus-selection uncertainty.</w:t>
      </w:r>
    </w:p>
    <w:p>
      <w:pPr>
        <w:pStyle w:val="BodyText"/>
      </w:pPr>
      <w:r>
        <w:t xml:space="preserve">QA uses one extractive answerer and one AI-review process; high historical support partly reflects copying, and prospective results cover only frozen cases. Ollama was unavailable during the frozen evaluation, so no generative comparison exists. The later Idea Generator has contract tests and formative prompts but no verified live-model quality, human usefulness, novelty, or feasibility assessment. Recommendation and topic judgments remain AI-proxy/silver, not user judgments or human labels. A feasibility or usefulness failure records absence of supporting evidence under the rubric; it is not a human determination that a project is infeasible or useless. Single-machine concurrency-one performance is not capacity testing.</w:t>
      </w:r>
    </w:p>
    <w:bookmarkEnd w:id="160"/>
    <w:bookmarkStart w:id="161" w:name="ethics-permissions-and-responsible-ai"/>
    <w:p>
      <w:pPr>
        <w:pStyle w:val="Heading2"/>
      </w:pPr>
      <w:r>
        <w:rPr>
          <w:rStyle w:val="SectionNumber"/>
        </w:rPr>
        <w:t xml:space="preserve">12.2</w:t>
      </w:r>
      <w:r>
        <w:tab/>
      </w:r>
      <w:r>
        <w:t xml:space="preserve">Ethics, permissions, and responsible AI</w:t>
      </w:r>
    </w:p>
    <w:p>
      <w:pPr>
        <w:pStyle w:val="FirstParagraph"/>
      </w:pPr>
      <w:r>
        <w:t xml:space="preserve">TTLAB explicitly authorized the project and use of the laboratory corpus. This fact does not establish research-ethics-board approval or exemption, ownership of third-party publications, or blanket redistribution permission. No human participants were recruited; no satisfaction, usability, educational benefit, or supervisor-approval claim is made. If a later human study is undertaken, institutional ethics determination, informed consent, recruitment, retention, compensation, and withdrawal procedures must precede data collection.</w:t>
      </w:r>
    </w:p>
    <w:p>
      <w:pPr>
        <w:pStyle w:val="BodyText"/>
      </w:pPr>
      <w:r>
        <w:t xml:space="preserve">Potential harms include source misrepresentation, inappropriate thesis advice, expertise misattribution, copyright overexposure, privacy leakage from project profiles or conversation turns, malicious documents, and unauthorised review changes. Controls include source locators, paper-informed/general and fact/inference/suggestion labels, AI/human review separation, warnings, evidence-only mode, transient inputs, session/bearer roles, CSRF, actor-bound previews, append-only event hashes, PDF/downloader limits, and a sanitized release. These controls reduce risk; they do not amount to institutional approval or human verification.</w:t>
      </w:r>
    </w:p>
    <w:p>
      <w:pPr>
        <w:pStyle w:val="BodyText"/>
      </w:pPr>
      <w:r>
        <w:t xml:space="preserve">OpenAI Codex was used as a supporting tool for evidence inspection, test and evaluation preparation, AI-silver labeling, targeted implementation support, and focused editorial revision. Reviewer IDs, prompts or prompt hashes, seeds, and limitations are persisted. The exact underlying Codex model digest was not exposed by the runtime and was not invented. The author retained responsibility for project design, decisions, interpretation, verification, and submission.</w:t>
      </w:r>
    </w:p>
    <w:bookmarkEnd w:id="161"/>
    <w:bookmarkStart w:id="162" w:name="construct-validity"/>
    <w:p>
      <w:pPr>
        <w:pStyle w:val="Heading2"/>
      </w:pPr>
      <w:r>
        <w:rPr>
          <w:rStyle w:val="SectionNumber"/>
        </w:rPr>
        <w:t xml:space="preserve">12.3</w:t>
      </w:r>
      <w:r>
        <w:tab/>
      </w:r>
      <w:r>
        <w:t xml:space="preserve">Construct validity</w:t>
      </w:r>
    </w:p>
    <w:p>
      <w:pPr>
        <w:pStyle w:val="FirstParagraph"/>
      </w:pPr>
      <w:r>
        <w:t xml:space="preserve">Set Recall@</w:t>
      </w:r>
      <m:oMath>
        <m:r>
          <m:t>k</m:t>
        </m:r>
      </m:oMath>
      <w:r>
        <w:t xml:space="preserve">, Hit@</w:t>
      </w:r>
      <m:oMath>
        <m:r>
          <m:t>k</m:t>
        </m:r>
      </m:oMath>
      <w:r>
        <w:t xml:space="preserve">, MRR, nDCG, citation correctness, citation completeness, supported-claim rate, answer-point coverage, and abstention are defined separately.</w:t>
      </w:r>
      <w:r>
        <w:t xml:space="preserve"> </w:t>
      </w:r>
      <w:r>
        <w:t xml:space="preserve">“</w:t>
      </w:r>
      <w:r>
        <w:t xml:space="preserve">Grounded</w:t>
      </w:r>
      <w:r>
        <w:t xml:space="preserve">”</w:t>
      </w:r>
      <w:r>
        <w:t xml:space="preserve"> </w:t>
      </w:r>
      <w:r>
        <w:t xml:space="preserve">in operational records denotes structural checks, not entailment. Topic score denotes controlled or prototype label evidence, not topic truth. Recommendation score denotes heuristic fit, not usefulness, novelty, or feasibility. AI-review consistency is not human inter-rater reliability. Index coverage and test counts are engineering properties, not effectiveness.</w:t>
      </w:r>
    </w:p>
    <w:bookmarkEnd w:id="162"/>
    <w:bookmarkStart w:id="163" w:name="internal-validity"/>
    <w:p>
      <w:pPr>
        <w:pStyle w:val="Heading2"/>
      </w:pPr>
      <w:r>
        <w:rPr>
          <w:rStyle w:val="SectionNumber"/>
        </w:rPr>
        <w:t xml:space="preserve">12.4</w:t>
      </w:r>
      <w:r>
        <w:tab/>
      </w:r>
      <w:r>
        <w:t xml:space="preserve">Internal validity</w:t>
      </w:r>
    </w:p>
    <w:p>
      <w:pPr>
        <w:pStyle w:val="FirstParagraph"/>
      </w:pPr>
      <w:r>
        <w:t xml:space="preserve">Development/test separation and prospective pre-execution case/split freezing reduce leakage. Nevertheless, source-derived labels came from one AI-assisted process and may reflect corpus vocabulary; the same AI reviewer verified them. Historical topic revalidation includes 1 conservative locator rebound across distinct snapshots, guarded by unique same-paper location and exact bounded-excerpt matching; this preserves a label binding but does not independently re-adjudicate it. Error tags are non-causal, and WSL load/caches affect performance.</w:t>
      </w:r>
    </w:p>
    <w:bookmarkEnd w:id="163"/>
    <w:bookmarkStart w:id="164" w:name="external-validity"/>
    <w:p>
      <w:pPr>
        <w:pStyle w:val="Heading2"/>
      </w:pPr>
      <w:r>
        <w:rPr>
          <w:rStyle w:val="SectionNumber"/>
        </w:rPr>
        <w:t xml:space="preserve">12.5</w:t>
      </w:r>
      <w:r>
        <w:tab/>
      </w:r>
      <w:r>
        <w:t xml:space="preserve">External validity</w:t>
      </w:r>
    </w:p>
    <w:p>
      <w:pPr>
        <w:pStyle w:val="FirstParagraph"/>
      </w:pPr>
      <w:r>
        <w:t xml:space="preserve">The system and controlled taxonomy are tailored to one laboratory, English-language records, and a small local corpus. Archive markup, disciplinary terminology, PDF quality, and user goals will differ elsewhere. The three-document Europe PMC check covers only CC BY life-science JATS/XML and trivial lexical queries. It cannot support claims about other institutions, languages, domains, or large corpora. No human study supports generalisation to student decision-making or public understanding.</w:t>
      </w:r>
    </w:p>
    <w:bookmarkEnd w:id="164"/>
    <w:bookmarkStart w:id="165" w:name="reproducibility-validity"/>
    <w:p>
      <w:pPr>
        <w:pStyle w:val="Heading2"/>
      </w:pPr>
      <w:r>
        <w:rPr>
          <w:rStyle w:val="SectionNumber"/>
        </w:rPr>
        <w:t xml:space="preserve">12.6</w:t>
      </w:r>
      <w:r>
        <w:tab/>
      </w:r>
      <w:r>
        <w:t xml:space="preserve">Reproducibility validity</w:t>
      </w:r>
    </w:p>
    <w:p>
      <w:pPr>
        <w:pStyle w:val="FirstParagraph"/>
      </w:pPr>
      <w:r>
        <w:t xml:space="preserve">Code, structural results, model/environment identities, seeds, and manifests are versioned and bind active index generations. The historical topic receipt distinguishes 119 exact identities from 1 excerpt-verified rebound rather than presenting a rebuilt snapshot as the original. Exact replication still needs lawful sources, model availability and compatible tools. Restricted-raw hashes attest runner observations, not independently inspectable content; open analytical and conditional full-corpus reproduction remain distinct.</w:t>
      </w:r>
    </w:p>
    <w:bookmarkEnd w:id="165"/>
    <w:bookmarkStart w:id="166" w:name="security-and-deployment-limitations"/>
    <w:p>
      <w:pPr>
        <w:pStyle w:val="Heading2"/>
      </w:pPr>
      <w:r>
        <w:rPr>
          <w:rStyle w:val="SectionNumber"/>
        </w:rPr>
        <w:t xml:space="preserve">12.7</w:t>
      </w:r>
      <w:r>
        <w:tab/>
      </w:r>
      <w:r>
        <w:t xml:space="preserve">Security and deployment limitations</w:t>
      </w:r>
    </w:p>
    <w:p>
      <w:pPr>
        <w:pStyle w:val="FirstParagraph"/>
      </w:pPr>
      <w:r>
        <w:t xml:space="preserve">The repository provides a fail-closed production configuration boundary and a visibly insecure loopback-demo mode, but it is not a hosted service. Local account authentication is not an institutional identity provider. TLS, reverse proxy, identity lifecycle, a distributed rate limiter, central monitoring, backups, incident response staffing, legal notices, accessibility conformance assessment, and operational correction processes remain deployment-specific. Scheduled discovery can be operated by the dedicated worker, but whole-corpus atomic promotion remains unavailable and fail-closed.</w:t>
      </w:r>
    </w:p>
    <w:p>
      <w:pPr>
        <w:pStyle w:val="BodyText"/>
      </w:pPr>
      <w:r>
        <w:t xml:space="preserve">The current Tectonic thesis PDF is untagged. Semantic source structure, text alternatives in figure captions/descriptions, bookmarks, selectable text, and embedded fonts improve portability, but they do not establish PDF/UA conformance. A tagged-PDF-capable toolchain and independent accessibility inspection are required before making that claim. External IEEE PDF Express/Checker validation and any venue/institutional declarations likewise require credentials and authorized human attestations.</w:t>
      </w:r>
    </w:p>
    <w:bookmarkEnd w:id="166"/>
    <w:bookmarkEnd w:id="167"/>
    <w:bookmarkStart w:id="169" w:name="ch:conclusion"/>
    <w:p>
      <w:pPr>
        <w:pStyle w:val="Heading1"/>
      </w:pPr>
      <w:r>
        <w:rPr>
          <w:rStyle w:val="SectionNumber"/>
        </w:rPr>
        <w:t xml:space="preserve">13</w:t>
      </w:r>
      <w:r>
        <w:tab/>
      </w:r>
      <w:r>
        <w:t xml:space="preserve">Conclusion and Future Work</w:t>
      </w:r>
    </w:p>
    <w:p>
      <w:pPr>
        <w:pStyle w:val="FirstParagraph"/>
      </w:pPr>
      <w:r>
        <w:t xml:space="preserve">This thesis designed and evaluated a source-traceable research-intelligence platform for a laboratory publication corpus. Its contribution is not a single chatbot: it is an evidence-preserving path from corpus eligibility through content summarization, retrieval, citation-bearing QA, structured thesis-extension support, conversational idea generation, controlled discovery, generated artifacts, evaluation, and attributable review. The results answer the seven research questions as follows.</w:t>
      </w:r>
    </w:p>
    <w:p>
      <w:pPr>
        <w:pStyle w:val="DefinitionTerm"/>
      </w:pPr>
      <w:r>
        <w:t xml:space="preserve">RQ1</w:t>
      </w:r>
    </w:p>
    <w:p>
      <w:pPr>
        <w:pStyle w:val="Definition"/>
      </w:pPr>
      <w:r>
        <w:t xml:space="preserve">The frozen eligible technical corpus and its keyword, feature-hashing, and learned-dense representations are complete under recorded manifests and generation links. Unavailable records, mismatches, unknown sections, and the empty independently approved public projection remain explicit rather than silently repaired or bypassed.</w:t>
      </w:r>
    </w:p>
    <w:p>
      <w:pPr>
        <w:pStyle w:val="DefinitionTerm"/>
      </w:pPr>
      <w:r>
        <w:t xml:space="preserve">RQ2</w:t>
      </w:r>
    </w:p>
    <w:p>
      <w:pPr>
        <w:pStyle w:val="Definition"/>
      </w:pPr>
      <w:r>
        <w:t xml:space="preserve">Historical v1 keyword retrieval has the strongest held-out point estimates; learned dense remains competitive, while the tuned hybrid does not demonstrate corrected superiority. The small AI-silver set supports bounded comparison, not equivalence or universal ranking claims.</w:t>
      </w:r>
    </w:p>
    <w:p>
      <w:pPr>
        <w:pStyle w:val="DefinitionTerm"/>
      </w:pPr>
      <w:r>
        <w:t xml:space="preserve">RQ3</w:t>
      </w:r>
    </w:p>
    <w:p>
      <w:pPr>
        <w:pStyle w:val="Definition"/>
      </w:pPr>
      <w:r>
        <w:t xml:space="preserve">Historical atomic review exposed weak citation choice, 11/81 strict answer-point coverage (0.1358), and only 1/4 unanswerable cases abstained despite high local support. The prospective selective run reports answerability precision 66.7%, exact-locator citation precision 9.1%, and point coverage 18.8%; although the frozen technical snapshot is shared, the cases, denominators, locator and answer constructs, and protocols differ, making this a descriptive, non-paired comparison. These are technical AI-silver results, not entailment or human usefulness.</w:t>
      </w:r>
    </w:p>
    <w:p>
      <w:pPr>
        <w:pStyle w:val="DefinitionTerm"/>
      </w:pPr>
      <w:r>
        <w:t xml:space="preserve">RQ4</w:t>
      </w:r>
    </w:p>
    <w:p>
      <w:pPr>
        <w:pStyle w:val="Definition"/>
      </w:pPr>
      <w:r>
        <w:t xml:space="preserve">Historically, the full Finder filled 67/84 ranks and scored 0.595 versus the evidence-only baseline’s 0.631 after zero-filling missing ranks; improvement was not demonstrated. Its prospective paired Hit@3 change is -20.0 pp with interval [-60.0 pp, +0.0 pp]. The post-evaluation Idea Generator adds a conversational, source-validated engineering contract, not a new effectiveness result. Neither mode is validated thesis advice, novelty, usefulness, or feasibility.</w:t>
      </w:r>
    </w:p>
    <w:p>
      <w:pPr>
        <w:pStyle w:val="DefinitionTerm"/>
      </w:pPr>
      <w:r>
        <w:t xml:space="preserve">RQ5</w:t>
      </w:r>
    </w:p>
    <w:p>
      <w:pPr>
        <w:pStyle w:val="Definition"/>
      </w:pPr>
      <w:r>
        <w:t xml:space="preserve">Controlled topic labels, conservative author identity, and actor-typed review make discovery outputs inspectable. Historical topic evidence retained 119 exact bindings and 1 excerpt-verified rebound across distinct snapshots. Prospective known-positive recall is 75.0%, but additional predictions remain unadjudicated; no comprehensive expertise, endorsement, public behavior, or human approval is established.</w:t>
      </w:r>
    </w:p>
    <w:p>
      <w:pPr>
        <w:pStyle w:val="DefinitionTerm"/>
      </w:pPr>
      <w:r>
        <w:t xml:space="preserve">RQ6</w:t>
      </w:r>
    </w:p>
    <w:p>
      <w:pPr>
        <w:pStyle w:val="Definition"/>
      </w:pPr>
      <w:r>
        <w:t xml:space="preserve">Versioned manifests, a sanitized rights-aware bundle, repeatable local builds, and an open-XML sanity check support bounded reproduction. They do not establish primary-PDF transfer, concurrent production capacity, or broad domain generalization.</w:t>
      </w:r>
    </w:p>
    <w:p>
      <w:pPr>
        <w:pStyle w:val="DefinitionTerm"/>
      </w:pPr>
      <w:r>
        <w:t xml:space="preserve">RQ7</w:t>
      </w:r>
    </w:p>
    <w:p>
      <w:pPr>
        <w:pStyle w:val="Definition"/>
      </w:pPr>
      <w:r>
        <w:t xml:space="preserve">Public and protected interface tests verify evidence display, transient profiles/conversations, session and service-actor authorization, preview-bound administration, correction history, failure states, responsive layouts, and selected automated accessibility contracts. They do not establish comprehension, satisfaction, WCAG or PDF/UA conformance, or assistive-technology usability.</w:t>
      </w:r>
    </w:p>
    <w:p>
      <w:pPr>
        <w:pStyle w:val="FirstParagraph"/>
      </w:pPr>
      <w:r>
        <w:t xml:space="preserve">The principal conclusion is deliberately restrained: the artifact makes research-intelligence outputs easier to inspect, reproduce, and correct, but it is not a human-validated research advisor. The most important negative finding is the gap between traceability and utility: a response can carry current source identifiers while selecting the wrong evidence or omitting requested points, and a structured Finder or conversational idea can satisfy schema boundaries without demonstrating usefulness or feasibility. The strict production gate adds a complementary lesson: a labelled loopback demonstration is preferable to presenting an authorized technical corpus as if every paper had been individually approved for public delivery.</w:t>
      </w:r>
    </w:p>
    <w:bookmarkStart w:id="168" w:name="prioritised-future-work"/>
    <w:p>
      <w:pPr>
        <w:pStyle w:val="Heading2"/>
      </w:pPr>
      <w:r>
        <w:rPr>
          <w:rStyle w:val="SectionNumber"/>
        </w:rPr>
        <w:t xml:space="preserve">13.1</w:t>
      </w:r>
      <w:r>
        <w:tab/>
      </w:r>
      <w:r>
        <w:t xml:space="preserve">Prioritised future work</w:t>
      </w:r>
    </w:p>
    <w:p>
      <w:pPr>
        <w:numPr>
          <w:ilvl w:val="0"/>
          <w:numId w:val="1005"/>
        </w:numPr>
      </w:pPr>
      <w:r>
        <w:rPr>
          <w:bCs/>
          <w:b/>
        </w:rPr>
        <w:t xml:space="preserve">Calibrate selective response.</w:t>
      </w:r>
      <w:r>
        <w:t xml:space="preserve"> </w:t>
      </w:r>
      <w:r>
        <w:t xml:space="preserve">Expand unanswerable and adversarial cases, select evidence/score thresholds on development data, and report risk jointly with retained coverage.</w:t>
      </w:r>
    </w:p>
    <w:p>
      <w:pPr>
        <w:numPr>
          <w:ilvl w:val="0"/>
          <w:numId w:val="1005"/>
        </w:numPr>
      </w:pPr>
      <w:r>
        <w:rPr>
          <w:bCs/>
          <w:b/>
        </w:rPr>
        <w:t xml:space="preserve">Improve evidence selection.</w:t>
      </w:r>
      <w:r>
        <w:t xml:space="preserve"> </w:t>
      </w:r>
      <w:r>
        <w:t xml:space="preserve">Add answer-point-aware reranking and within-paper passage retrieval, then repeat citation-link and completeness review without tuning on the present test set.</w:t>
      </w:r>
    </w:p>
    <w:p>
      <w:pPr>
        <w:numPr>
          <w:ilvl w:val="0"/>
          <w:numId w:val="1005"/>
        </w:numPr>
      </w:pPr>
      <w:r>
        <w:rPr>
          <w:bCs/>
          <w:b/>
        </w:rPr>
        <w:t xml:space="preserve">Run independent human studies.</w:t>
      </w:r>
      <w:r>
        <w:t xml:space="preserve"> </w:t>
      </w:r>
      <w:r>
        <w:t xml:space="preserve">After institutional ethics determination, recruit students, supervisors, researchers, and public users to evaluate relevance, comprehension, feasibility, trust, accessibility, and workflow utility.</w:t>
      </w:r>
    </w:p>
    <w:p>
      <w:pPr>
        <w:numPr>
          <w:ilvl w:val="0"/>
          <w:numId w:val="1005"/>
        </w:numPr>
      </w:pPr>
      <w:r>
        <w:rPr>
          <w:bCs/>
          <w:b/>
        </w:rPr>
        <w:t xml:space="preserve">Resolve data, rights, and identity gaps.</w:t>
      </w:r>
      <w:r>
        <w:t xml:space="preserve"> </w:t>
      </w:r>
      <w:r>
        <w:t xml:space="preserve">Acquire only permitted missing PDFs, obtain paper-level publication/rights decisions, externally verify mismatch documents and candidate author merges, and evaluate OCR on a real scanned-document subset.</w:t>
      </w:r>
    </w:p>
    <w:p>
      <w:pPr>
        <w:numPr>
          <w:ilvl w:val="0"/>
          <w:numId w:val="1005"/>
        </w:numPr>
      </w:pPr>
      <w:r>
        <w:rPr>
          <w:bCs/>
          <w:b/>
        </w:rPr>
        <w:t xml:space="preserve">Replicate externally and at scale.</w:t>
      </w:r>
      <w:r>
        <w:t xml:space="preserve"> </w:t>
      </w:r>
      <w:r>
        <w:t xml:space="preserve">Freeze larger independent test sets, evaluate additional authorized laboratories, disciplines, languages, and PDF formats, and run concurrent load/endurance tests in a production-like deployment.</w:t>
      </w:r>
    </w:p>
    <w:p>
      <w:pPr>
        <w:numPr>
          <w:ilvl w:val="0"/>
          <w:numId w:val="1005"/>
        </w:numPr>
      </w:pPr>
      <w:r>
        <w:rPr>
          <w:bCs/>
          <w:b/>
        </w:rPr>
        <w:t xml:space="preserve">Strengthen governance.</w:t>
      </w:r>
      <w:r>
        <w:t xml:space="preserve"> </w:t>
      </w:r>
      <w:r>
        <w:t xml:space="preserve">Integrate institutional identity, retention/deletion policy, correction and appeal processes, monitoring, backups, incident response, and independent security and accessibility assessment.</w:t>
      </w:r>
    </w:p>
    <w:bookmarkEnd w:id="168"/>
    <w:bookmarkEnd w:id="169"/>
    <w:bookmarkStart w:id="171" w:name="app:traceability"/>
    <w:p>
      <w:pPr>
        <w:pStyle w:val="Heading1"/>
      </w:pPr>
      <w:r>
        <w:t xml:space="preserve">Appendix A: Research-Question Traceability Matrix</w:t>
      </w:r>
    </w:p>
    <w:bookmarkStart w:id="170" w:name="tab:rq-traceability"/>
    <w:p>
      <w:pPr>
        <w:pStyle w:val="TableCaption"/>
      </w:pPr>
      <w:r>
        <w:t xml:space="preserve">Table A.1. Complete connection from each research question to method, evidence, result, and bounded conclusion.</w:t>
      </w:r>
    </w:p>
    <w:tbl>
      <w:tblPr>
        <w:tblStyle w:val="Table"/>
        <w:tblW w:type="auto" w:w="0"/>
        <w:tblLook w:firstRow="1" w:lastRow="0" w:firstColumn="0" w:lastColumn="0" w:noHBand="0" w:noVBand="0" w:val="0020"/>
        <w:jc w:val="start"/>
        <w:tblCaption w:val="Table A.1. Complete connection from each research question to method, evidence, result, and bounded conclusion."/>
      </w:tblPr>
      <w:tblGrid>
        <w:gridCol w:w="1584"/>
        <w:gridCol w:w="1584"/>
        <w:gridCol w:w="1584"/>
        <w:gridCol w:w="1584"/>
        <w:gridCol w:w="1584"/>
      </w:tblGrid>
      <w:tr>
        <w:trPr>
          <w:tblHeader w:val="true"/>
          <w:cantSplit/>
        </w:trPr>
        <w:tc>
          <w:tcPr>
            <w:noWrap/>
            <w:tcW w:w="720" w:type="dxa"/>
          </w:tcPr>
          <w:p>
            <w:pPr>
              <w:pStyle w:val="Compact"/>
              <w:jc w:val="left"/>
            </w:pPr>
            <w:r>
              <w:t xml:space="preserve">RQ</w:t>
            </w:r>
          </w:p>
        </w:tc>
        <w:tc>
          <w:tcPr/>
          <w:p>
            <w:pPr>
              <w:pStyle w:val="Compact"/>
              <w:jc w:val="left"/>
            </w:pPr>
            <w:r>
              <w:t xml:space="preserve">Method</w:t>
            </w:r>
          </w:p>
        </w:tc>
        <w:tc>
          <w:tcPr/>
          <w:p>
            <w:pPr>
              <w:pStyle w:val="Compact"/>
              <w:jc w:val="left"/>
            </w:pPr>
            <w:r>
              <w:t xml:space="preserve">Authoritative evidence</w:t>
            </w:r>
          </w:p>
        </w:tc>
        <w:tc>
          <w:tcPr/>
          <w:p>
            <w:pPr>
              <w:pStyle w:val="Compact"/>
              <w:jc w:val="left"/>
            </w:pPr>
            <w:r>
              <w:t xml:space="preserve">Principal result</w:t>
            </w:r>
          </w:p>
        </w:tc>
        <w:tc>
          <w:tcPr/>
          <w:p>
            <w:pPr>
              <w:pStyle w:val="Compact"/>
              <w:jc w:val="left"/>
            </w:pPr>
            <w:r>
              <w:t xml:space="preserve">Bounded conclusion</w:t>
            </w:r>
          </w:p>
        </w:tc>
      </w:tr>
      <w:tr>
        <w:trPr>
          <w:cantSplit/>
        </w:trPr>
        <w:tc>
          <w:tcPr>
            <w:noWrap/>
            <w:tcW w:w="720" w:type="dxa"/>
          </w:tcPr>
          <w:p>
            <w:pPr>
              <w:pStyle w:val="Compact"/>
              <w:jc w:val="left"/>
            </w:pPr>
            <w:r>
              <w:t xml:space="preserve">1</w:t>
            </w:r>
          </w:p>
        </w:tc>
        <w:tc>
          <w:tcPr/>
          <w:p>
            <w:pPr>
              <w:pStyle w:val="Compact"/>
              <w:jc w:val="left"/>
            </w:pPr>
            <w:r>
              <w:t xml:space="preserve">eligibility/identity audit; generation reconciliation; extraction/OCR fixture; manifest and public-projection validation</w:t>
            </w:r>
          </w:p>
        </w:tc>
        <w:tc>
          <w:tcPr/>
          <w:p>
            <w:pPr>
              <w:pStyle w:val="Compact"/>
              <w:jc w:val="left"/>
            </w:pPr>
            <w:r>
              <w:t xml:space="preserve">Phase 1 JSON; database integrity; section cases; active index generations; remediation OCR output</w:t>
            </w:r>
          </w:p>
        </w:tc>
        <w:tc>
          <w:tcPr/>
          <w:p>
            <w:pPr>
              <w:pStyle w:val="Compact"/>
              <w:jc w:val="left"/>
            </w:pPr>
            <w:r>
              <w:t xml:space="preserve">technical representations are complete; mismatch/unknown states persist; public searchable projection is empty; fixture CER is 0.0%</w:t>
            </w:r>
          </w:p>
        </w:tc>
        <w:tc>
          <w:tcPr/>
          <w:p>
            <w:pPr>
              <w:pStyle w:val="Compact"/>
              <w:jc w:val="left"/>
            </w:pPr>
            <w:r>
              <w:t xml:space="preserve">the technical corpus is fail-loud; no public approval, scanned-corpus OCR accuracy, or unavailable-text recovery is implied</w:t>
            </w:r>
          </w:p>
        </w:tc>
      </w:tr>
      <w:tr>
        <w:trPr>
          <w:cantSplit/>
        </w:trPr>
        <w:tc>
          <w:tcPr>
            <w:noWrap/>
            <w:tcW w:w="720" w:type="dxa"/>
          </w:tcPr>
          <w:p>
            <w:pPr>
              <w:pStyle w:val="Compact"/>
              <w:jc w:val="left"/>
            </w:pPr>
            <w:r>
              <w:t xml:space="preserve">2</w:t>
            </w:r>
          </w:p>
        </w:tc>
        <w:tc>
          <w:tcPr/>
          <w:p>
            <w:pPr>
              <w:pStyle w:val="Compact"/>
              <w:jc w:val="left"/>
            </w:pPr>
            <w:r>
              <w:t xml:space="preserve">historical v1 development/test comparison; tuning; ablation; bootstrap and paired tests</w:t>
            </w:r>
          </w:p>
        </w:tc>
        <w:tc>
          <w:tcPr/>
          <w:p>
            <w:pPr>
              <w:pStyle w:val="Compact"/>
              <w:jc w:val="left"/>
            </w:pPr>
            <w:r>
              <w:t xml:space="preserve">immutable per-query rankings; summaries, statistics, errors, tuning and sensitivity outputs</w:t>
            </w:r>
          </w:p>
        </w:tc>
        <w:tc>
          <w:tcPr/>
          <w:p>
            <w:pPr>
              <w:pStyle w:val="Compact"/>
              <w:jc w:val="left"/>
            </w:pPr>
            <w:r>
              <w:t xml:space="preserve">keyword has the highest historical held-out point estimates; corrected comparisons do not show tuned-hybrid superiority</w:t>
            </w:r>
          </w:p>
        </w:tc>
        <w:tc>
          <w:tcPr/>
          <w:p>
            <w:pPr>
              <w:pStyle w:val="Compact"/>
              <w:jc w:val="left"/>
            </w:pPr>
            <w:r>
              <w:t xml:space="preserve">bounded post-selection diagnostic behavior is measured; neither equivalence nor broader-corpus superiority is established</w:t>
            </w:r>
          </w:p>
        </w:tc>
      </w:tr>
      <w:tr>
        <w:trPr>
          <w:cantSplit/>
        </w:trPr>
        <w:tc>
          <w:tcPr>
            <w:noWrap/>
            <w:tcW w:w="720" w:type="dxa"/>
          </w:tcPr>
          <w:p>
            <w:pPr>
              <w:pStyle w:val="Compact"/>
              <w:jc w:val="left"/>
            </w:pPr>
            <w:r>
              <w:t xml:space="preserve">3</w:t>
            </w:r>
          </w:p>
        </w:tc>
        <w:tc>
          <w:tcPr/>
          <w:p>
            <w:pPr>
              <w:pStyle w:val="Compact"/>
              <w:jc w:val="left"/>
            </w:pPr>
            <w:r>
              <w:t xml:space="preserve">historical atomic diagnosis plus prospective source-first selective-QA execution</w:t>
            </w:r>
          </w:p>
        </w:tc>
        <w:tc>
          <w:tcPr/>
          <w:p>
            <w:pPr>
              <w:pStyle w:val="Compact"/>
              <w:jc w:val="left"/>
            </w:pPr>
            <w:r>
              <w:t xml:space="preserve">historical claim/point decisions; remediation raw structural outputs, review passes, disagreements, metrics, and macros</w:t>
            </w:r>
          </w:p>
        </w:tc>
        <w:tc>
          <w:tcPr/>
          <w:p>
            <w:pPr>
              <w:pStyle w:val="Compact"/>
              <w:jc w:val="left"/>
            </w:pPr>
            <w:r>
              <w:t xml:space="preserve">historical strict coverage is 11/81 (0.1358) and unanswerable abstention 1/4; prospective answerability precision is 66.7% and locator precision 9.1%</w:t>
            </w:r>
          </w:p>
        </w:tc>
        <w:tc>
          <w:tcPr/>
          <w:p>
            <w:pPr>
              <w:pStyle w:val="Compact"/>
              <w:jc w:val="left"/>
            </w:pPr>
            <w:r>
              <w:t xml:space="preserve">repaired technical contracts are measured; historical/prospective comparison is non-paired and source membership does not establish entailment, complete answers, or human usefulness</w:t>
            </w:r>
          </w:p>
        </w:tc>
      </w:tr>
      <w:tr>
        <w:trPr>
          <w:cantSplit/>
        </w:trPr>
        <w:tc>
          <w:tcPr>
            <w:noWrap/>
            <w:tcW w:w="720" w:type="dxa"/>
          </w:tcPr>
          <w:p>
            <w:pPr>
              <w:pStyle w:val="Compact"/>
              <w:jc w:val="left"/>
            </w:pPr>
            <w:r>
              <w:t xml:space="preserve">4</w:t>
            </w:r>
          </w:p>
        </w:tc>
        <w:tc>
          <w:tcPr/>
          <w:p>
            <w:pPr>
              <w:pStyle w:val="Compact"/>
              <w:jc w:val="left"/>
            </w:pPr>
            <w:r>
              <w:t xml:space="preserve">historical proxy diagnosis plus prospective paired evidence-only/full Finder execution and sensitivity</w:t>
            </w:r>
          </w:p>
        </w:tc>
        <w:tc>
          <w:tcPr/>
          <w:p>
            <w:pPr>
              <w:pStyle w:val="Compact"/>
              <w:jc w:val="left"/>
            </w:pPr>
            <w:r>
              <w:t xml:space="preserve">historical returned-item criteria and zero-filled ranks; remediation paired rankings, contract checks, metrics, and macros</w:t>
            </w:r>
          </w:p>
        </w:tc>
        <w:tc>
          <w:tcPr/>
          <w:p>
            <w:pPr>
              <w:pStyle w:val="Compact"/>
              <w:jc w:val="left"/>
            </w:pPr>
            <w:r>
              <w:t xml:space="preserve">historical full Finder filled 67/84 ranks and did not improve relevance; prospective Hit@3 change is -20.0 pp and fact/suggestion separation 80.0%</w:t>
            </w:r>
          </w:p>
        </w:tc>
        <w:tc>
          <w:tcPr/>
          <w:p>
            <w:pPr>
              <w:pStyle w:val="Compact"/>
              <w:jc w:val="left"/>
            </w:pPr>
            <w:r>
              <w:t xml:space="preserve">inspectable ranking/advice contracts are measured, not usefulness, novelty, feasibility, supervisor fit, or student benefit</w:t>
            </w:r>
          </w:p>
        </w:tc>
      </w:tr>
      <w:tr>
        <w:trPr>
          <w:cantSplit/>
        </w:trPr>
        <w:tc>
          <w:tcPr>
            <w:noWrap/>
            <w:tcW w:w="720" w:type="dxa"/>
          </w:tcPr>
          <w:p>
            <w:pPr>
              <w:pStyle w:val="Compact"/>
              <w:jc w:val="left"/>
            </w:pPr>
            <w:r>
              <w:t xml:space="preserve">5</w:t>
            </w:r>
          </w:p>
        </w:tc>
        <w:tc>
          <w:tcPr/>
          <w:p>
            <w:pPr>
              <w:pStyle w:val="Compact"/>
              <w:jc w:val="left"/>
            </w:pPr>
            <w:r>
              <w:t xml:space="preserve">historical closed-world topic diagnosis and binding receipt; prospective known-positive evaluation; author/output audit</w:t>
            </w:r>
          </w:p>
        </w:tc>
        <w:tc>
          <w:tcPr/>
          <w:p>
            <w:pPr>
              <w:pStyle w:val="Compact"/>
              <w:jc w:val="left"/>
            </w:pPr>
            <w:r>
              <w:t xml:space="preserve">historical topic errors and snapshot binding receipt; remediation predictions/metrics; identity audit; review events/idempotence</w:t>
            </w:r>
          </w:p>
        </w:tc>
        <w:tc>
          <w:tcPr/>
          <w:p>
            <w:pPr>
              <w:pStyle w:val="Compact"/>
              <w:jc w:val="left"/>
            </w:pPr>
            <w:r>
              <w:t xml:space="preserve">historical evidence has 119 exact bindings and 1 excerpt-verified rebound across distinct snapshots; prospective recall is 75.0%; extra predictions remain unadjudicated</w:t>
            </w:r>
          </w:p>
        </w:tc>
        <w:tc>
          <w:tcPr/>
          <w:p>
            <w:pPr>
              <w:pStyle w:val="Compact"/>
              <w:jc w:val="left"/>
            </w:pPr>
            <w:r>
              <w:t xml:space="preserve">discovery and review are inspectable, not topic precision, comprehensive expertise, endorsement, identity certainty, public behavior, or human approval</w:t>
            </w:r>
          </w:p>
        </w:tc>
      </w:tr>
      <w:tr>
        <w:trPr>
          <w:cantSplit/>
        </w:trPr>
        <w:tc>
          <w:tcPr>
            <w:noWrap/>
            <w:tcW w:w="720" w:type="dxa"/>
          </w:tcPr>
          <w:p>
            <w:pPr>
              <w:pStyle w:val="Compact"/>
              <w:jc w:val="left"/>
            </w:pPr>
            <w:r>
              <w:t xml:space="preserve">6</w:t>
            </w:r>
          </w:p>
        </w:tc>
        <w:tc>
          <w:tcPr/>
          <w:p>
            <w:pPr>
              <w:pStyle w:val="Compact"/>
              <w:jc w:val="left"/>
            </w:pPr>
            <w:r>
              <w:t xml:space="preserve">repeated benchmark; full/quick reproduction; release scan; external open-corpus check; document preflight</w:t>
            </w:r>
          </w:p>
        </w:tc>
        <w:tc>
          <w:tcPr/>
          <w:p>
            <w:pPr>
              <w:pStyle w:val="Compact"/>
              <w:jc w:val="left"/>
            </w:pPr>
            <w:r>
              <w:t xml:space="preserve">Phase 6 raw results; reproduction/release manifests; 3 acquisition records; PDF checks</w:t>
            </w:r>
          </w:p>
        </w:tc>
        <w:tc>
          <w:tcPr/>
          <w:p>
            <w:pPr>
              <w:pStyle w:val="Compact"/>
              <w:jc w:val="left"/>
            </w:pPr>
            <w:r>
              <w:t xml:space="preserve">concurrency-one operation is characterized; external XML maps into the chunker and gives 3/3 fixed lexical top-one matches; restricted PDFs remain excluded</w:t>
            </w:r>
          </w:p>
        </w:tc>
        <w:tc>
          <w:tcPr/>
          <w:p>
            <w:pPr>
              <w:pStyle w:val="Compact"/>
              <w:jc w:val="left"/>
            </w:pPr>
            <w:r>
              <w:t xml:space="preserve">local reproducibility and limited format compatibility are supported, not production capacity, primary-PDF transfer, or broad external validity</w:t>
            </w:r>
          </w:p>
        </w:tc>
      </w:tr>
      <w:tr>
        <w:trPr>
          <w:cantSplit/>
        </w:trPr>
        <w:tc>
          <w:tcPr>
            <w:noWrap/>
            <w:tcW w:w="720" w:type="dxa"/>
          </w:tcPr>
          <w:p>
            <w:pPr>
              <w:pStyle w:val="Compact"/>
              <w:jc w:val="left"/>
            </w:pPr>
            <w:r>
              <w:t xml:space="preserve">7</w:t>
            </w:r>
          </w:p>
        </w:tc>
        <w:tc>
          <w:tcPr/>
          <w:p>
            <w:pPr>
              <w:pStyle w:val="Compact"/>
              <w:jc w:val="left"/>
            </w:pPr>
            <w:r>
              <w:t xml:space="preserve">requirement–API–view–test trace; public privacy probe; role/authentication, failure, responsive, and accessibility tests</w:t>
            </w:r>
          </w:p>
        </w:tc>
        <w:tc>
          <w:tcPr/>
          <w:p>
            <w:pPr>
              <w:pStyle w:val="Compact"/>
              <w:jc w:val="left"/>
            </w:pPr>
            <w:r>
              <w:t xml:space="preserve">route/API contracts; runtime probe; backend security and frontend component/E2E evidence</w:t>
            </w:r>
          </w:p>
        </w:tc>
        <w:tc>
          <w:tcPr/>
          <w:p>
            <w:pPr>
              <w:pStyle w:val="Compact"/>
              <w:jc w:val="left"/>
            </w:pPr>
            <w:r>
              <w:t xml:space="preserve">transient public requests, protected history/mutations, evidence states, failure recovery, and automated accessibility contracts pass their specified checks</w:t>
            </w:r>
          </w:p>
        </w:tc>
        <w:tc>
          <w:tcPr/>
          <w:p>
            <w:pPr>
              <w:pStyle w:val="Compact"/>
              <w:jc w:val="left"/>
            </w:pPr>
            <w:r>
              <w:t xml:space="preserve">implementation conformance is supported; comprehension, satisfaction, WCAG/PDF-UA conformance, assistive-technology usability, and production readiness remain external</w:t>
            </w:r>
          </w:p>
        </w:tc>
      </w:tr>
    </w:tbl>
    <w:bookmarkEnd w:id="170"/>
    <w:p>
      <w:pPr>
        <w:pStyle w:val="BodyText"/>
      </w:pPr>
      <w:hyperlink w:anchor="tab:rq-traceability">
        <w:r>
          <w:rPr>
            <w:rStyle w:val="Hyperlink"/>
          </w:rPr>
          <w:t xml:space="preserve">Table A.1</w:t>
        </w:r>
      </w:hyperlink>
      <w:r>
        <w:t xml:space="preserve"> </w:t>
      </w:r>
      <w:r>
        <w:t xml:space="preserve">is the authoritative claim map. Inventory evidence supports RQ1, immutable historical v1 and prospective AI-silver experiments support bounded RQ2–RQ5 observations, reproduction evidence supports RQ6, and interface tests support RQ7. Historical and prospective estimates are not automatically paired or causally comparable when cases, protocols, or snapshots differ. None substitutes for human validation, an institutional decision, paper-level rights approval, or production assessment.</w:t>
      </w:r>
    </w:p>
    <w:bookmarkEnd w:id="171"/>
    <w:bookmarkStart w:id="179" w:name="app:reproducibility"/>
    <w:p>
      <w:pPr>
        <w:pStyle w:val="Heading1"/>
      </w:pPr>
      <w:r>
        <w:t xml:space="preserve">Appendix B: Reproducibility Guide</w:t>
      </w:r>
    </w:p>
    <w:p>
      <w:pPr>
        <w:pStyle w:val="FirstParagraph"/>
      </w:pPr>
      <w:r>
        <w:t xml:space="preserve">Run commands from the repository root on Linux/WSL. The exact code revision, working-tree state at execution, environment, input hashes, and output hashes are embedded in phase and reproduction manifests. The retained historical-v1 snapshot is</w:t>
      </w:r>
      <w:r>
        <w:t xml:space="preserve"> </w:t>
      </w:r>
      <w:r>
        <w:rPr>
          <w:rStyle w:val="VerbatimChar"/>
        </w:rPr>
        <w:t xml:space="preserve">corpus-f4638c633bea82b0</w:t>
      </w:r>
      <w:r>
        <w:t xml:space="preserve">; the prospective run binds its rebuilt technical snapshot separately as</w:t>
      </w:r>
      <w:r>
        <w:t xml:space="preserve"> </w:t>
      </w:r>
      <w:r>
        <w:rPr>
          <w:rStyle w:val="VerbatimChar"/>
        </w:rPr>
        <w:t xml:space="preserve">corpus-f4638c633bea82b0</w:t>
      </w:r>
      <w:r>
        <w:t xml:space="preserve">.</w:t>
      </w:r>
    </w:p>
    <w:bookmarkStart w:id="172" w:name="b.1-one-command-paths"/>
    <w:p>
      <w:pPr>
        <w:pStyle w:val="Heading2"/>
      </w:pPr>
      <w:r>
        <w:t xml:space="preserve">B.1 One-command paths</w:t>
      </w:r>
    </w:p>
    <w:p>
      <w:pPr>
        <w:pStyle w:val="SourceCode"/>
      </w:pPr>
      <w:r>
        <w:rPr>
          <w:rStyle w:val="FunctionTok"/>
        </w:rPr>
        <w:t xml:space="preserve">make</w:t>
      </w:r>
      <w:r>
        <w:rPr>
          <w:rStyle w:val="NormalTok"/>
        </w:rPr>
        <w:t xml:space="preserve"> reproduce-quick  </w:t>
      </w:r>
      <w:r>
        <w:rPr>
          <w:rStyle w:val="CommentTok"/>
        </w:rPr>
        <w:t xml:space="preserve"># code/sanitized evidence path</w:t>
      </w:r>
      <w:r>
        <w:br/>
      </w:r>
      <w:r>
        <w:rPr>
          <w:rStyle w:val="FunctionTok"/>
        </w:rPr>
        <w:t xml:space="preserve">make</w:t>
      </w:r>
      <w:r>
        <w:rPr>
          <w:rStyle w:val="NormalTok"/>
        </w:rPr>
        <w:t xml:space="preserve"> reproduce        </w:t>
      </w:r>
      <w:r>
        <w:rPr>
          <w:rStyle w:val="CommentTok"/>
        </w:rPr>
        <w:t xml:space="preserve"># full authorized-corpus path</w:t>
      </w:r>
      <w:r>
        <w:br/>
      </w:r>
      <w:r>
        <w:rPr>
          <w:rStyle w:val="FunctionTok"/>
        </w:rPr>
        <w:t xml:space="preserve">make</w:t>
      </w:r>
      <w:r>
        <w:rPr>
          <w:rStyle w:val="NormalTok"/>
        </w:rPr>
        <w:t xml:space="preserve"> release          </w:t>
      </w:r>
      <w:r>
        <w:rPr>
          <w:rStyle w:val="CommentTok"/>
        </w:rPr>
        <w:t xml:space="preserve"># deterministic sanitized bundle</w:t>
      </w:r>
    </w:p>
    <w:p>
      <w:pPr>
        <w:pStyle w:val="FirstParagraph"/>
      </w:pPr>
      <w:r>
        <w:t xml:space="preserve">The full path requires a lawful local database/PDF corpus and the pinned dense model. It imports/repairs metadata, reconciles source generations, extracts/chunks, validates or rebuilds immutable index generations, executes evaluations and performance workloads, runs tests/builds, generates manuscript evidence, compiles paper and thesis, performs local PDF preflight, builds the release, and emits a final manifest/checksums. The quick path verifies distributable code and sanitized evidence without claiming to recreate restricted inputs.</w:t>
      </w:r>
    </w:p>
    <w:bookmarkEnd w:id="172"/>
    <w:bookmarkStart w:id="173" w:name="b.2-evidence-and-manuscript-generation"/>
    <w:p>
      <w:pPr>
        <w:pStyle w:val="Heading2"/>
      </w:pPr>
      <w:r>
        <w:t xml:space="preserve">B.2 Evidence and manuscript generation</w:t>
      </w:r>
    </w:p>
    <w:p>
      <w:pPr>
        <w:pStyle w:val="SourceCode"/>
      </w:pP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thesis/scripts/collect_evidence.py</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thesis/scripts/runtime_probe.py</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thesis/scripts/generate_manuscript_assets.py</w:t>
      </w:r>
      <w:r>
        <w:br/>
      </w:r>
      <w:r>
        <w:rPr>
          <w:rStyle w:val="CommentTok"/>
        </w:rPr>
        <w:t xml:space="preserve"># With the backend on :8000 and frontend on :4173:</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w:t>
      </w:r>
      <w:r>
        <w:rPr>
          <w:rStyle w:val="DataTypeTok"/>
        </w:rPr>
        <w:t xml:space="preserve">\</w:t>
      </w:r>
      <w:r>
        <w:br/>
      </w:r>
      <w:r>
        <w:rPr>
          <w:rStyle w:val="NormalTok"/>
        </w:rPr>
        <w:t xml:space="preserve">  </w:t>
      </w:r>
      <w:r>
        <w:rPr>
          <w:rStyle w:val="AttributeTok"/>
        </w:rPr>
        <w:t xml:space="preserve">-m</w:t>
      </w:r>
      <w:r>
        <w:rPr>
          <w:rStyle w:val="NormalTok"/>
        </w:rPr>
        <w:t xml:space="preserve"> app.reproducibility.database_snapshot </w:t>
      </w:r>
      <w:r>
        <w:rPr>
          <w:rStyle w:val="DataTypeTok"/>
        </w:rPr>
        <w:t xml:space="preserve">\</w:t>
      </w:r>
      <w:r>
        <w:br/>
      </w:r>
      <w:r>
        <w:rPr>
          <w:rStyle w:val="NormalTok"/>
        </w:rPr>
        <w:t xml:space="preserve">  </w:t>
      </w:r>
      <w:r>
        <w:rPr>
          <w:rStyle w:val="AttributeTok"/>
        </w:rPr>
        <w:t xml:space="preserve">--source</w:t>
      </w:r>
      <w:r>
        <w:rPr>
          <w:rStyle w:val="NormalTok"/>
        </w:rPr>
        <w:t xml:space="preserve"> data/papers.db </w:t>
      </w:r>
      <w:r>
        <w:rPr>
          <w:rStyle w:val="DataTypeTok"/>
        </w:rPr>
        <w:t xml:space="preserve">\</w:t>
      </w:r>
      <w:r>
        <w:br/>
      </w:r>
      <w:r>
        <w:rPr>
          <w:rStyle w:val="NormalTok"/>
        </w:rPr>
        <w:t xml:space="preserve">  </w:t>
      </w:r>
      <w:r>
        <w:rPr>
          <w:rStyle w:val="AttributeTok"/>
        </w:rPr>
        <w:t xml:space="preserve">--target</w:t>
      </w:r>
      <w:r>
        <w:rPr>
          <w:rStyle w:val="NormalTok"/>
        </w:rPr>
        <w:t xml:space="preserve"> /tmp/ttlab-capture-XXXX/papers.db </w:t>
      </w:r>
      <w:r>
        <w:rPr>
          <w:rStyle w:val="DataTypeTok"/>
        </w:rPr>
        <w:t xml:space="preserve">\</w:t>
      </w:r>
      <w:r>
        <w:br/>
      </w:r>
      <w:r>
        <w:rPr>
          <w:rStyle w:val="NormalTok"/>
        </w:rPr>
        <w:t xml:space="preserve">  </w:t>
      </w:r>
      <w:r>
        <w:rPr>
          <w:rStyle w:val="AttributeTok"/>
        </w:rPr>
        <w:t xml:space="preserve">--evidence</w:t>
      </w:r>
      <w:r>
        <w:rPr>
          <w:rStyle w:val="NormalTok"/>
        </w:rPr>
        <w:t xml:space="preserve"> /tmp/ttlab-capture-XXXX/database-snapshot.json</w:t>
      </w:r>
      <w:r>
        <w:br/>
      </w:r>
      <w:r>
        <w:rPr>
          <w:rStyle w:val="VariableTok"/>
        </w:rPr>
        <w:t xml:space="preserve">TTLAB_CAPTURE_ISOLATED</w:t>
      </w:r>
      <w:r>
        <w:rPr>
          <w:rStyle w:val="OperatorTok"/>
        </w:rPr>
        <w:t xml:space="preserve">=</w:t>
      </w:r>
      <w:r>
        <w:rPr>
          <w:rStyle w:val="NormalTok"/>
        </w:rPr>
        <w:t xml:space="preserve">1 </w:t>
      </w:r>
      <w:r>
        <w:rPr>
          <w:rStyle w:val="DataTypeTok"/>
        </w:rPr>
        <w:t xml:space="preserve">\</w:t>
      </w:r>
      <w:r>
        <w:br/>
      </w:r>
      <w:r>
        <w:rPr>
          <w:rStyle w:val="VariableTok"/>
        </w:rPr>
        <w:t xml:space="preserve">TTLAB_SCREENSHOT_CAPTURE_SET</w:t>
      </w:r>
      <w:r>
        <w:rPr>
          <w:rStyle w:val="OperatorTok"/>
        </w:rPr>
        <w:t xml:space="preserve">=</w:t>
      </w:r>
      <w:r>
        <w:rPr>
          <w:rStyle w:val="NormalTok"/>
        </w:rPr>
        <w:t xml:space="preserve">governance </w:t>
      </w:r>
      <w:r>
        <w:rPr>
          <w:rStyle w:val="DataTypeTok"/>
        </w:rPr>
        <w:t xml:space="preserve">\</w:t>
      </w:r>
      <w:r>
        <w:br/>
      </w:r>
      <w:r>
        <w:rPr>
          <w:rStyle w:val="VariableTok"/>
        </w:rPr>
        <w:t xml:space="preserve">TTLAB_SCREENSHOT_RUNTIME_ROOT</w:t>
      </w:r>
      <w:r>
        <w:rPr>
          <w:rStyle w:val="OperatorTok"/>
        </w:rPr>
        <w:t xml:space="preserve">=</w:t>
      </w:r>
      <w:r>
        <w:rPr>
          <w:rStyle w:val="NormalTok"/>
        </w:rPr>
        <w:t xml:space="preserve">/tmp/ttlab-capture-XXXX </w:t>
      </w:r>
      <w:r>
        <w:rPr>
          <w:rStyle w:val="DataTypeTok"/>
        </w:rPr>
        <w:t xml:space="preserve">\</w:t>
      </w:r>
      <w:r>
        <w:br/>
      </w:r>
      <w:r>
        <w:rPr>
          <w:rStyle w:val="VariableTok"/>
        </w:rPr>
        <w:t xml:space="preserve">TTLAB_SCREENSHOT_SOURCE_DB_SHA256</w:t>
      </w:r>
      <w:r>
        <w:rPr>
          <w:rStyle w:val="OperatorTok"/>
        </w:rPr>
        <w:t xml:space="preserve">=&lt;</w:t>
      </w:r>
      <w:r>
        <w:rPr>
          <w:rStyle w:val="NormalTok"/>
        </w:rPr>
        <w:t xml:space="preserve">pre-launch-sha256</w:t>
      </w:r>
      <w:r>
        <w:rPr>
          <w:rStyle w:val="OperatorTok"/>
        </w:rPr>
        <w:t xml:space="preserve">&gt;</w:t>
      </w:r>
      <w:r>
        <w:rPr>
          <w:rStyle w:val="NormalTok"/>
        </w:rPr>
        <w:t xml:space="preserve"> </w:t>
      </w:r>
      <w:r>
        <w:rPr>
          <w:rStyle w:val="DataTypeTok"/>
        </w:rPr>
        <w:t xml:space="preserve">\</w:t>
      </w:r>
      <w:r>
        <w:br/>
      </w:r>
      <w:r>
        <w:rPr>
          <w:rStyle w:val="NormalTok"/>
        </w:rPr>
        <w:t xml:space="preserve">TTLAB_SCREENSHOT_SOURCE_DB_FAMILY_SHA256=</w:t>
      </w:r>
      <w:r>
        <w:rPr>
          <w:rStyle w:val="OperatorTok"/>
        </w:rPr>
        <w:t xml:space="preserve">&lt;</w:t>
      </w:r>
      <w:r>
        <w:rPr>
          <w:rStyle w:val="NormalTok"/>
        </w:rPr>
        <w:t xml:space="preserve">pre-launch-family-sha256</w:t>
      </w:r>
      <w:r>
        <w:rPr>
          <w:rStyle w:val="OperatorTok"/>
        </w:rPr>
        <w:t xml:space="preserve">&gt;</w:t>
      </w:r>
      <w:r>
        <w:rPr>
          <w:rStyle w:val="NormalTok"/>
        </w:rPr>
        <w:t xml:space="preserve"> </w:t>
      </w:r>
      <w:r>
        <w:rPr>
          <w:rStyle w:val="DataTypeTok"/>
        </w:rPr>
        <w:t xml:space="preserve">\</w:t>
      </w:r>
      <w:r>
        <w:br/>
      </w:r>
      <w:r>
        <w:rPr>
          <w:rStyle w:val="NormalTok"/>
        </w:rPr>
        <w:t xml:space="preserve">TTLAB_SCREENSHOT_RUNTIME_DB_PATH=/tmp/ttlab-capture-XXXX/papers.db </w:t>
      </w:r>
      <w:r>
        <w:rPr>
          <w:rStyle w:val="DataTypeTok"/>
        </w:rPr>
        <w:t xml:space="preserve">\</w:t>
      </w:r>
      <w:r>
        <w:br/>
      </w:r>
      <w:r>
        <w:rPr>
          <w:rStyle w:val="VariableTok"/>
        </w:rPr>
        <w:t xml:space="preserve">TTLAB_SCREENSHOT_DATABASE_SNAPSHOT_EVIDENCE</w:t>
      </w:r>
      <w:r>
        <w:rPr>
          <w:rStyle w:val="OperatorTok"/>
        </w:rPr>
        <w:t xml:space="preserve">=</w:t>
      </w:r>
      <w:r>
        <w:rPr>
          <w:rStyle w:val="NormalTok"/>
        </w:rPr>
        <w:t xml:space="preserve">/tmp/ttlab-capture-XXXX/database-snapshot.json </w:t>
      </w:r>
      <w:r>
        <w:rPr>
          <w:rStyle w:val="DataTypeTok"/>
        </w:rPr>
        <w:t xml:space="preserve">\</w:t>
      </w:r>
      <w:r>
        <w:br/>
      </w:r>
      <w:r>
        <w:rPr>
          <w:rStyle w:val="VariableTok"/>
        </w:rPr>
        <w:t xml:space="preserve">TTLAB_SCREENSHOT_RUNTIME_INDEX_DIR</w:t>
      </w:r>
      <w:r>
        <w:rPr>
          <w:rStyle w:val="OperatorTok"/>
        </w:rPr>
        <w:t xml:space="preserve">=</w:t>
      </w:r>
      <w:r>
        <w:rPr>
          <w:rStyle w:val="NormalTok"/>
        </w:rPr>
        <w:t xml:space="preserve">/tmp/ttlab-capture-XXXX/data/indexes </w:t>
      </w:r>
      <w:r>
        <w:rPr>
          <w:rStyle w:val="DataTypeTok"/>
        </w:rPr>
        <w:t xml:space="preserve">\</w:t>
      </w:r>
      <w:r>
        <w:br/>
      </w:r>
      <w:r>
        <w:rPr>
          <w:rStyle w:val="ExtensionTok"/>
        </w:rPr>
        <w:t xml:space="preserve">node</w:t>
      </w:r>
      <w:r>
        <w:rPr>
          <w:rStyle w:val="NormalTok"/>
        </w:rPr>
        <w:t xml:space="preserve"> thesis/scripts/capture_interface_screenshots.mjs</w:t>
      </w:r>
      <w:r>
        <w:br/>
      </w:r>
      <w:r>
        <w:rPr>
          <w:rStyle w:val="FunctionTok"/>
        </w:rPr>
        <w:t xml:space="preserve">make</w:t>
      </w:r>
      <w:r>
        <w:rPr>
          <w:rStyle w:val="NormalTok"/>
        </w:rPr>
        <w:t xml:space="preserve"> thesis</w:t>
      </w:r>
    </w:p>
    <w:p>
      <w:pPr>
        <w:pStyle w:val="FirstParagraph"/>
      </w:pPr>
      <w:r>
        <w:t xml:space="preserve">The runtime probe copies the SQLite database to a temporary directory, uses transient generation, verifies public routes, and confirms that anonymous admin access is denied. It never adds evidence rows to the source database. The screenshot command requires a clean committed source, pre-launch source hash, validated SQLite backup evidence, distinct runtime database inode, and exact copied index inventory. Its governance set stages the fail-closed public Finder and a protected aggregate Admin shell through a write-blocked service-reviewer session; the full set additionally requires an identity-current remediation-v2 dashboard panel. Both write only to a new external temporary staging directory, record capture/output/source-integrity assertions, and require separate privacy/rights-boundary and print-scale inspection before explicit promotion. The manuscript generator fails when a required frozen artefact is missing.</w:t>
      </w:r>
    </w:p>
    <w:bookmarkEnd w:id="173"/>
    <w:bookmarkStart w:id="174" w:name="b.3-evaluation-commands"/>
    <w:p>
      <w:pPr>
        <w:pStyle w:val="Heading2"/>
      </w:pPr>
      <w:r>
        <w:t xml:space="preserve">B.3 Evaluation commands</w:t>
      </w:r>
    </w:p>
    <w:p>
      <w:pPr>
        <w:pStyle w:val="SourceCode"/>
      </w:pP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w:t>
      </w:r>
      <w:r>
        <w:rPr>
          <w:rStyle w:val="AttributeTok"/>
        </w:rPr>
        <w:t xml:space="preserve">-m</w:t>
      </w:r>
      <w:r>
        <w:rPr>
          <w:rStyle w:val="NormalTok"/>
        </w:rPr>
        <w:t xml:space="preserve"> app.evaluation.retrieval_experiment</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data/evaluation/validate_qa_faithfulness_v1.py</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data/evaluation/validate_recommendation_proxy_v1.py</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data/evaluation/validate_topic_author_silver_v1.py</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data/evaluation/validate_section_quality_silver_v1.py </w:t>
      </w:r>
      <w:r>
        <w:rPr>
          <w:rStyle w:val="DataTypeTok"/>
        </w:rPr>
        <w:t xml:space="preserve">\</w:t>
      </w:r>
      <w:r>
        <w:br/>
      </w:r>
      <w:r>
        <w:rPr>
          <w:rStyle w:val="NormalTok"/>
        </w:rPr>
        <w:t xml:space="preserve">  </w:t>
      </w:r>
      <w:r>
        <w:rPr>
          <w:rStyle w:val="AttributeTok"/>
        </w:rPr>
        <w:t xml:space="preserve">--database</w:t>
      </w:r>
      <w:r>
        <w:rPr>
          <w:rStyle w:val="NormalTok"/>
        </w:rPr>
        <w:t xml:space="preserve"> data/papers.db </w:t>
      </w:r>
      <w:r>
        <w:rPr>
          <w:rStyle w:val="AttributeTok"/>
        </w:rPr>
        <w:t xml:space="preserve">--evaluate-current</w:t>
      </w:r>
      <w:r>
        <w:br/>
      </w:r>
      <w:r>
        <w:rPr>
          <w:rStyle w:val="CommentTok"/>
        </w:rPr>
        <w:t xml:space="preserve"># Prospective suite: prepare freezes inputs before any final execution.</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w:t>
      </w:r>
      <w:r>
        <w:rPr>
          <w:rStyle w:val="DataTypeTok"/>
        </w:rPr>
        <w:t xml:space="preserve">\</w:t>
      </w:r>
      <w:r>
        <w:br/>
      </w:r>
      <w:r>
        <w:rPr>
          <w:rStyle w:val="NormalTok"/>
        </w:rPr>
        <w:t xml:space="preserve">  data/evaluation/run_peer_review_remediation_v2.py prepare</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w:t>
      </w:r>
      <w:r>
        <w:rPr>
          <w:rStyle w:val="DataTypeTok"/>
        </w:rPr>
        <w:t xml:space="preserve">\</w:t>
      </w:r>
      <w:r>
        <w:br/>
      </w:r>
      <w:r>
        <w:rPr>
          <w:rStyle w:val="NormalTok"/>
        </w:rPr>
        <w:t xml:space="preserve">  data/evaluation/run_peer_review_remediation_v2.py evaluate</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w:t>
      </w:r>
      <w:r>
        <w:rPr>
          <w:rStyle w:val="DataTypeTok"/>
        </w:rPr>
        <w:t xml:space="preserve">\</w:t>
      </w:r>
      <w:r>
        <w:br/>
      </w:r>
      <w:r>
        <w:rPr>
          <w:rStyle w:val="NormalTok"/>
        </w:rPr>
        <w:t xml:space="preserve">  data/evaluation/validate_peer_review_remediation_v2.py</w:t>
      </w:r>
    </w:p>
    <w:p>
      <w:pPr>
        <w:pStyle w:val="FirstParagraph"/>
      </w:pPr>
      <w:r>
        <w:t xml:space="preserve">Exact CLI arguments and phase-specific seeds are preserved in their manifests and the reproduction script. The prospective evaluator refuses changed frozen inputs, writes rights-sensitive raw outputs only to an ignored operator directory, and emits a closed allowlist of versionable structural outputs. The validator recomputes case identities, metrics, bootstrap intervals, and manuscript macros instead of trusting reported aggregates. The historical topic validator separately records 119 exact chunk identities and 1 conservative rebound based on a unique same-paper page/section/chunk-index locator plus exact bounded-excerpt match. Its receipt preserves the fact that the frozen label and rebuilt technical snapshots differ. Consequently, historical and prospective QA aggregates are reproduced as separate estimands, not converted into a paired before/after effect.</w:t>
      </w:r>
    </w:p>
    <w:bookmarkEnd w:id="174"/>
    <w:bookmarkStart w:id="175" w:name="X1182b99da3c25a5d281ca67ff748ad57cd5e914"/>
    <w:p>
      <w:pPr>
        <w:pStyle w:val="Heading2"/>
      </w:pPr>
      <w:r>
        <w:t xml:space="preserve">B.4 Application and document verification</w:t>
      </w:r>
    </w:p>
    <w:p>
      <w:pPr>
        <w:pStyle w:val="SourceCode"/>
      </w:pP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w:t>
      </w:r>
      <w:r>
        <w:rPr>
          <w:rStyle w:val="AttributeTok"/>
        </w:rPr>
        <w:t xml:space="preserve">-m</w:t>
      </w:r>
      <w:r>
        <w:rPr>
          <w:rStyle w:val="NormalTok"/>
        </w:rPr>
        <w:t xml:space="preserve"> pytest</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KeywordTok"/>
        </w:rPr>
        <w:t xml:space="preserve">&amp;&amp;</w:t>
      </w:r>
      <w:r>
        <w:rPr>
          <w:rStyle w:val="NormalTok"/>
        </w:rPr>
        <w:t xml:space="preserve"> </w:t>
      </w:r>
      <w:r>
        <w:rPr>
          <w:rStyle w:val="ExtensionTok"/>
        </w:rPr>
        <w:t xml:space="preserve">npm</w:t>
      </w:r>
      <w:r>
        <w:rPr>
          <w:rStyle w:val="NormalTok"/>
        </w:rPr>
        <w:t xml:space="preserve"> run build </w:t>
      </w:r>
      <w:r>
        <w:rPr>
          <w:rStyle w:val="KeywordTok"/>
        </w:rPr>
        <w:t xml:space="preserve">&amp;&amp;</w:t>
      </w:r>
      <w:r>
        <w:rPr>
          <w:rStyle w:val="NormalTok"/>
        </w:rPr>
        <w:t xml:space="preserve"> </w:t>
      </w:r>
      <w:r>
        <w:rPr>
          <w:rStyle w:val="ExtensionTok"/>
        </w:rPr>
        <w:t xml:space="preserve">npm</w:t>
      </w:r>
      <w:r>
        <w:rPr>
          <w:rStyle w:val="NormalTok"/>
        </w:rPr>
        <w:t xml:space="preserve"> run test:e2e</w:t>
      </w:r>
      <w:r>
        <w:br/>
      </w:r>
      <w:r>
        <w:rPr>
          <w:rStyle w:val="BuiltInTok"/>
        </w:rPr>
        <w:t xml:space="preserve">cd</w:t>
      </w:r>
      <w:r>
        <w:rPr>
          <w:rStyle w:val="NormalTok"/>
        </w:rPr>
        <w:t xml:space="preserve"> ..</w:t>
      </w:r>
      <w:r>
        <w:br/>
      </w:r>
      <w:r>
        <w:rPr>
          <w:rStyle w:val="FunctionTok"/>
        </w:rPr>
        <w:t xml:space="preserve">make</w:t>
      </w:r>
      <w:r>
        <w:rPr>
          <w:rStyle w:val="NormalTok"/>
        </w:rPr>
        <w:t xml:space="preserve"> thesis</w:t>
      </w:r>
      <w:r>
        <w:br/>
      </w:r>
      <w:r>
        <w:rPr>
          <w:rStyle w:val="ExtensionTok"/>
        </w:rPr>
        <w:t xml:space="preserve">.venv/bin/python</w:t>
      </w:r>
      <w:r>
        <w:rPr>
          <w:rStyle w:val="NormalTok"/>
        </w:rPr>
        <w:t xml:space="preserve"> scripts/validate_manuscripts.py </w:t>
      </w:r>
      <w:r>
        <w:rPr>
          <w:rStyle w:val="AttributeTok"/>
        </w:rPr>
        <w:t xml:space="preserve">--source-only</w:t>
      </w:r>
      <w:r>
        <w:br/>
      </w:r>
      <w:r>
        <w:rPr>
          <w:rStyle w:val="ExtensionTok"/>
        </w:rPr>
        <w:t xml:space="preserve">.venv/bin/python</w:t>
      </w:r>
      <w:r>
        <w:rPr>
          <w:rStyle w:val="NormalTok"/>
        </w:rPr>
        <w:t xml:space="preserve"> scripts/validate_manuscripts.py</w:t>
      </w:r>
      <w:r>
        <w:br/>
      </w:r>
      <w:r>
        <w:rPr>
          <w:rStyle w:val="ExtensionTok"/>
        </w:rPr>
        <w:t xml:space="preserve">pdfinfo</w:t>
      </w:r>
      <w:r>
        <w:rPr>
          <w:rStyle w:val="NormalTok"/>
        </w:rPr>
        <w:t xml:space="preserve"> build/thesis.pdf</w:t>
      </w:r>
      <w:r>
        <w:br/>
      </w:r>
      <w:r>
        <w:rPr>
          <w:rStyle w:val="ExtensionTok"/>
        </w:rPr>
        <w:t xml:space="preserve">pdffonts</w:t>
      </w:r>
      <w:r>
        <w:rPr>
          <w:rStyle w:val="NormalTok"/>
        </w:rPr>
        <w:t xml:space="preserve"> build/thesis.pdf</w:t>
      </w:r>
      <w:r>
        <w:br/>
      </w:r>
      <w:r>
        <w:rPr>
          <w:rStyle w:val="ExtensionTok"/>
        </w:rPr>
        <w:t xml:space="preserve">pdftoppm</w:t>
      </w:r>
      <w:r>
        <w:rPr>
          <w:rStyle w:val="NormalTok"/>
        </w:rPr>
        <w:t xml:space="preserve"> </w:t>
      </w:r>
      <w:r>
        <w:rPr>
          <w:rStyle w:val="AttributeTok"/>
        </w:rPr>
        <w:t xml:space="preserve">-png</w:t>
      </w:r>
      <w:r>
        <w:rPr>
          <w:rStyle w:val="NormalTok"/>
        </w:rPr>
        <w:t xml:space="preserve"> build/thesis.pdf tmp/pdfs/thesis</w:t>
      </w:r>
    </w:p>
    <w:p>
      <w:pPr>
        <w:pStyle w:val="FirstParagraph"/>
      </w:pPr>
      <w:r>
        <w:t xml:space="preserve">Local preflight verifies A4 thesis page size, metadata, embedded fonts, absence of Type 3 fonts and visible placeholder markers, citation/reference resolution, and serious overflow. PDF Express/Checker is external because it requires venue credentials.</w:t>
      </w:r>
    </w:p>
    <w:bookmarkEnd w:id="175"/>
    <w:bookmarkStart w:id="177" w:name="b.5-key-identifiers"/>
    <w:p>
      <w:pPr>
        <w:pStyle w:val="Heading2"/>
      </w:pPr>
      <w:r>
        <w:t xml:space="preserve">B.5 Key identifiers</w:t>
      </w:r>
    </w:p>
    <w:p>
      <w:pPr>
        <w:pStyle w:val="FirstParagraph"/>
      </w:pPr>
      <w:hyperlink w:anchor="tab:repro-identifiers">
        <w:r>
          <w:rPr>
            <w:rStyle w:val="Hyperlink"/>
          </w:rPr>
          <w:t xml:space="preserve">Table B.1</w:t>
        </w:r>
      </w:hyperlink>
      <w:r>
        <w:t xml:space="preserve"> </w:t>
      </w:r>
      <w:r>
        <w:t xml:space="preserve">provides compact identifiers for checking that a rerun uses the intended corpus, indexes, model, and labels.</w:t>
      </w:r>
    </w:p>
    <w:bookmarkStart w:id="176" w:name="tab:repro-identifiers"/>
    <w:p>
      <w:pPr>
        <w:pStyle w:val="TableCaption"/>
      </w:pPr>
      <w:r>
        <w:t xml:space="preserve">Table B.1. Key frozen identifiers. Full values are retained in manifests.</w:t>
      </w:r>
    </w:p>
    <w:tbl>
      <w:tblPr>
        <w:tblStyle w:val="Table"/>
        <w:tblW w:type="auto" w:w="0"/>
        <w:tblLook w:firstRow="1" w:lastRow="0" w:firstColumn="0" w:lastColumn="0" w:noHBand="0" w:noVBand="0" w:val="0020"/>
        <w:jc w:val="start"/>
        <w:tblCaption w:val="Table B.1. Key frozen identifiers. Full values are retained in manifests."/>
      </w:tblPr>
      <w:tblGrid>
        <w:gridCol w:w="3960"/>
        <w:gridCol w:w="3960"/>
      </w:tblGrid>
      <w:tr>
        <w:trPr>
          <w:tblHeader w:val="true"/>
          <w:cantSplit/>
        </w:trPr>
        <w:tc>
          <w:tcPr/>
          <w:p>
            <w:pPr>
              <w:pStyle w:val="Compact"/>
              <w:jc w:val="left"/>
            </w:pPr>
            <w:r>
              <w:t xml:space="preserve">Artefact</w:t>
            </w:r>
          </w:p>
        </w:tc>
        <w:tc>
          <w:tcPr/>
          <w:p>
            <w:pPr>
              <w:pStyle w:val="Compact"/>
              <w:jc w:val="left"/>
            </w:pPr>
            <w:r>
              <w:t xml:space="preserve">Identifier</w:t>
            </w:r>
          </w:p>
        </w:tc>
      </w:tr>
      <w:tr>
        <w:trPr>
          <w:cantSplit/>
        </w:trPr>
        <w:tc>
          <w:tcPr/>
          <w:p>
            <w:pPr>
              <w:pStyle w:val="Compact"/>
              <w:jc w:val="left"/>
            </w:pPr>
            <w:r>
              <w:t xml:space="preserve">Historical corpus snapshot</w:t>
            </w:r>
          </w:p>
        </w:tc>
        <w:tc>
          <w:tcPr/>
          <w:p>
            <w:pPr>
              <w:pStyle w:val="Compact"/>
              <w:jc w:val="left"/>
            </w:pPr>
            <w:r>
              <w:rPr>
                <w:rStyle w:val="VerbatimChar"/>
              </w:rPr>
              <w:t xml:space="preserve">corpus-f4638c633bea82b0</w:t>
            </w:r>
            <w:r>
              <w:t xml:space="preserve">; full hash in the index manifests</w:t>
            </w:r>
          </w:p>
        </w:tc>
      </w:tr>
      <w:tr>
        <w:trPr>
          <w:cantSplit/>
        </w:trPr>
        <w:tc>
          <w:tcPr/>
          <w:p>
            <w:pPr>
              <w:pStyle w:val="Compact"/>
              <w:jc w:val="left"/>
            </w:pPr>
            <w:r>
              <w:t xml:space="preserve">Prospective technical snapshot</w:t>
            </w:r>
          </w:p>
        </w:tc>
        <w:tc>
          <w:tcPr/>
          <w:p>
            <w:pPr>
              <w:pStyle w:val="Compact"/>
              <w:jc w:val="left"/>
            </w:pPr>
            <w:r>
              <w:rPr>
                <w:rStyle w:val="VerbatimChar"/>
              </w:rPr>
              <w:t xml:space="preserve">corpus-f4638c633bea82b0</w:t>
            </w:r>
            <w:r>
              <w:t xml:space="preserve">; hash prefix</w:t>
            </w:r>
            <w:r>
              <w:t xml:space="preserve"> </w:t>
            </w:r>
            <w:r>
              <w:rPr>
                <w:rStyle w:val="VerbatimChar"/>
              </w:rPr>
              <w:t xml:space="preserve">f4638c633bea</w:t>
            </w:r>
          </w:p>
        </w:tc>
      </w:tr>
      <w:tr>
        <w:trPr>
          <w:cantSplit/>
        </w:trPr>
        <w:tc>
          <w:tcPr/>
          <w:p>
            <w:pPr>
              <w:pStyle w:val="Compact"/>
              <w:jc w:val="left"/>
            </w:pPr>
            <w:r>
              <w:t xml:space="preserve">Prospective protocol/datasets</w:t>
            </w:r>
          </w:p>
        </w:tc>
        <w:tc>
          <w:tcPr/>
          <w:p>
            <w:pPr>
              <w:pStyle w:val="Compact"/>
              <w:jc w:val="left"/>
            </w:pPr>
            <w:r>
              <w:rPr>
                <w:rStyle w:val="VerbatimChar"/>
              </w:rPr>
              <w:t xml:space="preserve">0d7e39b951d1</w:t>
            </w:r>
            <w:r>
              <w:t xml:space="preserve"> </w:t>
            </w:r>
            <w:r>
              <w:t xml:space="preserve">/</w:t>
            </w:r>
            <w:r>
              <w:t xml:space="preserve"> </w:t>
            </w:r>
            <w:r>
              <w:rPr>
                <w:rStyle w:val="VerbatimChar"/>
              </w:rPr>
              <w:t xml:space="preserve">daadc395aefa</w:t>
            </w:r>
          </w:p>
        </w:tc>
      </w:tr>
      <w:tr>
        <w:trPr>
          <w:cantSplit/>
        </w:trPr>
        <w:tc>
          <w:tcPr/>
          <w:p>
            <w:pPr>
              <w:pStyle w:val="Compact"/>
              <w:jc w:val="left"/>
            </w:pPr>
            <w:r>
              <w:t xml:space="preserve">Prospective package validation</w:t>
            </w:r>
          </w:p>
        </w:tc>
        <w:tc>
          <w:tcPr/>
          <w:p>
            <w:pPr>
              <w:pStyle w:val="Compact"/>
              <w:jc w:val="left"/>
            </w:pPr>
            <w:r>
              <w:t xml:space="preserve">manifest</w:t>
            </w:r>
            <w:r>
              <w:t xml:space="preserve"> </w:t>
            </w:r>
            <w:r>
              <w:rPr>
                <w:rStyle w:val="VerbatimChar"/>
              </w:rPr>
              <w:t xml:space="preserve">bdc8e8b289d3</w:t>
            </w:r>
            <w:r>
              <w:t xml:space="preserve">; attestation</w:t>
            </w:r>
            <w:r>
              <w:t xml:space="preserve"> </w:t>
            </w:r>
            <w:r>
              <w:rPr>
                <w:rStyle w:val="VerbatimChar"/>
              </w:rPr>
              <w:t xml:space="preserve">f6d320bc2466</w:t>
            </w:r>
          </w:p>
        </w:tc>
      </w:tr>
      <w:tr>
        <w:trPr>
          <w:cantSplit/>
        </w:trPr>
        <w:tc>
          <w:tcPr/>
          <w:p>
            <w:pPr>
              <w:pStyle w:val="Compact"/>
              <w:jc w:val="left"/>
            </w:pPr>
            <w:r>
              <w:t xml:space="preserve">Dense model</w:t>
            </w:r>
          </w:p>
        </w:tc>
        <w:tc>
          <w:tcPr/>
          <w:p>
            <w:pPr>
              <w:pStyle w:val="Compact"/>
              <w:jc w:val="left"/>
            </w:pPr>
            <w:r>
              <w:rPr>
                <w:rStyle w:val="VerbatimChar"/>
              </w:rPr>
              <w:t xml:space="preserve">all-MiniLM-L6-v2</w:t>
            </w:r>
            <w:r>
              <w:t xml:space="preserve"> </w:t>
            </w:r>
            <w:r>
              <w:t xml:space="preserve">revision</w:t>
            </w:r>
            <w:r>
              <w:t xml:space="preserve"> </w:t>
            </w:r>
            <w:r>
              <w:rPr>
                <w:rStyle w:val="VerbatimChar"/>
              </w:rPr>
              <w:t xml:space="preserve">826711e54e001c...a1def9</w:t>
            </w:r>
          </w:p>
        </w:tc>
      </w:tr>
      <w:tr>
        <w:trPr>
          <w:cantSplit/>
        </w:trPr>
        <w:tc>
          <w:tcPr/>
          <w:p>
            <w:pPr>
              <w:pStyle w:val="Compact"/>
              <w:jc w:val="left"/>
            </w:pPr>
            <w:r>
              <w:t xml:space="preserve">Dense model artifact</w:t>
            </w:r>
          </w:p>
        </w:tc>
        <w:tc>
          <w:tcPr/>
          <w:p>
            <w:pPr>
              <w:pStyle w:val="Compact"/>
              <w:jc w:val="left"/>
            </w:pPr>
            <w:r>
              <w:t xml:space="preserve">SHA-256</w:t>
            </w:r>
            <w:r>
              <w:t xml:space="preserve"> </w:t>
            </w:r>
            <w:r>
              <w:rPr>
                <w:rStyle w:val="VerbatimChar"/>
              </w:rPr>
              <w:t xml:space="preserve">18309e334c02...048c0a7c</w:t>
            </w:r>
          </w:p>
        </w:tc>
      </w:tr>
      <w:tr>
        <w:trPr>
          <w:cantSplit/>
        </w:trPr>
        <w:tc>
          <w:tcPr/>
          <w:p>
            <w:pPr>
              <w:pStyle w:val="Compact"/>
              <w:jc w:val="left"/>
            </w:pPr>
            <w:r>
              <w:t xml:space="preserve">Retrieval labels</w:t>
            </w:r>
          </w:p>
        </w:tc>
        <w:tc>
          <w:tcPr/>
          <w:p>
            <w:pPr>
              <w:pStyle w:val="Compact"/>
              <w:jc w:val="left"/>
            </w:pPr>
            <w:r>
              <w:t xml:space="preserve">SHA-256</w:t>
            </w:r>
            <w:r>
              <w:t xml:space="preserve"> </w:t>
            </w:r>
            <w:r>
              <w:rPr>
                <w:rStyle w:val="VerbatimChar"/>
              </w:rPr>
              <w:t xml:space="preserve">ccd16f6428c9...949a3cbe1</w:t>
            </w:r>
          </w:p>
        </w:tc>
      </w:tr>
    </w:tbl>
    <w:bookmarkEnd w:id="176"/>
    <w:bookmarkEnd w:id="177"/>
    <w:bookmarkStart w:id="178" w:name="b.6-availability-boundary"/>
    <w:p>
      <w:pPr>
        <w:pStyle w:val="Heading2"/>
      </w:pPr>
      <w:r>
        <w:t xml:space="preserve">B.6 Availability boundary</w:t>
      </w:r>
    </w:p>
    <w:p>
      <w:pPr>
        <w:pStyle w:val="FirstParagraph"/>
      </w:pPr>
      <w:r>
        <w:t xml:space="preserve">The sanitized bundle contains code, tests, schemas, redistributable metadata, evaluation cases/labels, versionable structural results, prompts/configurations, code-native figure sources, manuscript sources, hashes, and instructions. It excludes every PDF, SQLite database, runtime index, extracted/chunked publication text, rights-sensitive raw answer/recommendation/evidence file, unrestricted interface screenshot, raw full-text prompt, raw external XML, secret, and absolute local path. Exact full-corpus results are reproducible only for an authorized recipient who lawfully reacquires or receives the source material.</w:t>
      </w:r>
    </w:p>
    <w:bookmarkEnd w:id="178"/>
    <w:bookmarkEnd w:id="179"/>
    <w:bookmarkStart w:id="186" w:name="app:schema-api"/>
    <w:p>
      <w:pPr>
        <w:pStyle w:val="Heading1"/>
      </w:pPr>
      <w:r>
        <w:t xml:space="preserve">Appendix C: Schema and API Summary</w:t>
      </w:r>
    </w:p>
    <w:bookmarkStart w:id="181" w:name="c.1-principal-persisted-contracts"/>
    <w:p>
      <w:pPr>
        <w:pStyle w:val="Heading2"/>
      </w:pPr>
      <w:r>
        <w:t xml:space="preserve">C.1 Principal persisted contracts</w:t>
      </w:r>
    </w:p>
    <w:p>
      <w:pPr>
        <w:pStyle w:val="FirstParagraph"/>
      </w:pPr>
      <w:r>
        <w:t xml:space="preserve">The persisted contracts in</w:t>
      </w:r>
      <w:r>
        <w:t xml:space="preserve"> </w:t>
      </w:r>
      <w:hyperlink w:anchor="tab:schema-summary">
        <w:r>
          <w:rPr>
            <w:rStyle w:val="Hyperlink"/>
          </w:rPr>
          <w:t xml:space="preserve">Table C.1</w:t>
        </w:r>
      </w:hyperlink>
      <w:r>
        <w:t xml:space="preserve"> </w:t>
      </w:r>
      <w:r>
        <w:t xml:space="preserve">define where provenance and review state survive beyond one request.</w:t>
      </w:r>
    </w:p>
    <w:bookmarkStart w:id="180" w:name="tab:schema-summary"/>
    <w:p>
      <w:pPr>
        <w:pStyle w:val="TableCaption"/>
      </w:pPr>
      <w:r>
        <w:t xml:space="preserve">Table C.1. Principal persisted entities and traceability fields.</w:t>
      </w:r>
    </w:p>
    <w:tbl>
      <w:tblPr>
        <w:tblStyle w:val="Table"/>
        <w:tblW w:type="auto" w:w="0"/>
        <w:tblLook w:firstRow="1" w:lastRow="0" w:firstColumn="0" w:lastColumn="0" w:noHBand="0" w:noVBand="0" w:val="0020"/>
        <w:jc w:val="start"/>
        <w:tblCaption w:val="Table C.1. Principal persisted entities and traceability fields."/>
      </w:tblPr>
      <w:tblGrid>
        <w:gridCol w:w="3960"/>
        <w:gridCol w:w="3960"/>
      </w:tblGrid>
      <w:tr>
        <w:trPr>
          <w:tblHeader w:val="true"/>
          <w:cantSplit/>
        </w:trPr>
        <w:tc>
          <w:tcPr/>
          <w:p>
            <w:pPr>
              <w:pStyle w:val="Compact"/>
              <w:jc w:val="left"/>
            </w:pPr>
            <w:r>
              <w:t xml:space="preserve">Entity</w:t>
            </w:r>
          </w:p>
        </w:tc>
        <w:tc>
          <w:tcPr/>
          <w:p>
            <w:pPr>
              <w:pStyle w:val="Compact"/>
              <w:jc w:val="left"/>
            </w:pPr>
            <w:r>
              <w:t xml:space="preserve">Principal fields</w:t>
            </w:r>
          </w:p>
        </w:tc>
      </w:tr>
      <w:tr>
        <w:trPr>
          <w:cantSplit/>
        </w:trPr>
        <w:tc>
          <w:tcPr/>
          <w:p>
            <w:pPr>
              <w:pStyle w:val="Compact"/>
              <w:jc w:val="left"/>
            </w:pPr>
            <w:r>
              <w:t xml:space="preserve">Paper</w:t>
            </w:r>
          </w:p>
        </w:tc>
        <w:tc>
          <w:tcPr/>
          <w:p>
            <w:pPr>
              <w:pStyle w:val="Compact"/>
              <w:jc w:val="left"/>
            </w:pPr>
            <w:r>
              <w:t xml:space="preserve">identifier; title; source authors; canonical identity links; metadata/provenance; ingestion, extraction, eligibility, OCR and review states; extraction/chunk/public-index generations; publication, rights and access states; timestamps</w:t>
            </w:r>
          </w:p>
        </w:tc>
      </w:tr>
      <w:tr>
        <w:trPr>
          <w:cantSplit/>
        </w:trPr>
        <w:tc>
          <w:tcPr/>
          <w:p>
            <w:pPr>
              <w:pStyle w:val="Compact"/>
              <w:jc w:val="left"/>
            </w:pPr>
            <w:r>
              <w:t xml:space="preserve">Chunk</w:t>
            </w:r>
          </w:p>
        </w:tc>
        <w:tc>
          <w:tcPr/>
          <w:p>
            <w:pPr>
              <w:pStyle w:val="Compact"/>
              <w:jc w:val="left"/>
            </w:pPr>
            <w:r>
              <w:t xml:space="preserve">identifier; paper foreign key; page start/end; inferred section; exact text; word/token count; source hash; extraction generation; eligibility/index status; timestamp</w:t>
            </w:r>
          </w:p>
        </w:tc>
      </w:tr>
      <w:tr>
        <w:trPr>
          <w:cantSplit/>
        </w:trPr>
        <w:tc>
          <w:tcPr/>
          <w:p>
            <w:pPr>
              <w:pStyle w:val="Compact"/>
              <w:jc w:val="left"/>
            </w:pPr>
            <w:r>
              <w:t xml:space="preserve">Index generation/manifest</w:t>
            </w:r>
          </w:p>
        </w:tc>
        <w:tc>
          <w:tcPr/>
          <w:p>
            <w:pPr>
              <w:pStyle w:val="Compact"/>
              <w:jc w:val="left"/>
            </w:pPr>
            <w:r>
              <w:t xml:space="preserve">immutable generation plus current pointer; corpus snapshot/hash; ordered chunk/source hashes; provider/model/revision; dimension/normalisation; configuration/code/index hashes; role/completeness</w:t>
            </w:r>
          </w:p>
        </w:tc>
      </w:tr>
      <w:tr>
        <w:trPr>
          <w:cantSplit/>
        </w:trPr>
        <w:tc>
          <w:tcPr/>
          <w:p>
            <w:pPr>
              <w:pStyle w:val="Compact"/>
              <w:jc w:val="left"/>
            </w:pPr>
            <w:r>
              <w:t xml:space="preserve">RAGAnswer</w:t>
            </w:r>
          </w:p>
        </w:tc>
        <w:tc>
          <w:tcPr/>
          <w:p>
            <w:pPr>
              <w:pStyle w:val="Compact"/>
              <w:jc w:val="left"/>
            </w:pPr>
            <w:r>
              <w:t xml:space="preserve">question; answer; retrieved chunk/paper/citation structures; provider/model/configuration; grounding and unsupported-claim warnings; reviewer fields; timestamps</w:t>
            </w:r>
          </w:p>
        </w:tc>
      </w:tr>
      <w:tr>
        <w:trPr>
          <w:cantSplit/>
        </w:trPr>
        <w:tc>
          <w:tcPr/>
          <w:p>
            <w:pPr>
              <w:pStyle w:val="Compact"/>
              <w:jc w:val="left"/>
            </w:pPr>
            <w:r>
              <w:t xml:space="preserve">Thesis Recommendation</w:t>
            </w:r>
          </w:p>
        </w:tc>
        <w:tc>
          <w:tcPr/>
          <w:p>
            <w:pPr>
              <w:pStyle w:val="Compact"/>
              <w:jc w:val="left"/>
            </w:pPr>
            <w:r>
              <w:t xml:space="preserve">transient request profile; ranked recommendation structures; evidence/gap/suggestion boundaries; citations; provider/model; grounding/review state; timestamp</w:t>
            </w:r>
          </w:p>
        </w:tc>
      </w:tr>
      <w:tr>
        <w:trPr>
          <w:cantSplit/>
        </w:trPr>
        <w:tc>
          <w:tcPr/>
          <w:p>
            <w:pPr>
              <w:pStyle w:val="Compact"/>
              <w:jc w:val="left"/>
            </w:pPr>
            <w:r>
              <w:t xml:space="preserve">Paper Artifact</w:t>
            </w:r>
          </w:p>
        </w:tc>
        <w:tc>
          <w:tcPr/>
          <w:p>
            <w:pPr>
              <w:pStyle w:val="Compact"/>
              <w:jc w:val="left"/>
            </w:pPr>
            <w:r>
              <w:t xml:space="preserve">paper foreign key; artifact type; generated text/JSON; citations and source sections; provider/model; grounding/review state</w:t>
            </w:r>
          </w:p>
        </w:tc>
      </w:tr>
      <w:tr>
        <w:trPr>
          <w:cantSplit/>
        </w:trPr>
        <w:tc>
          <w:tcPr/>
          <w:p>
            <w:pPr>
              <w:pStyle w:val="Compact"/>
              <w:jc w:val="left"/>
            </w:pPr>
            <w:r>
              <w:t xml:space="preserve">Canonical Author / Alias</w:t>
            </w:r>
          </w:p>
        </w:tc>
        <w:tc>
          <w:tcPr/>
          <w:p>
            <w:pPr>
              <w:pStyle w:val="Compact"/>
              <w:jc w:val="left"/>
            </w:pPr>
            <w:r>
              <w:t xml:space="preserve">canonical name; alias/provenance; identity/merge and review states; publication relation</w:t>
            </w:r>
          </w:p>
        </w:tc>
      </w:tr>
      <w:tr>
        <w:trPr>
          <w:cantSplit/>
        </w:trPr>
        <w:tc>
          <w:tcPr/>
          <w:p>
            <w:pPr>
              <w:pStyle w:val="Compact"/>
              <w:jc w:val="left"/>
            </w:pPr>
            <w:r>
              <w:t xml:space="preserve">Topic / PaperTopic / AuthorTopic</w:t>
            </w:r>
          </w:p>
        </w:tc>
        <w:tc>
          <w:tcPr/>
          <w:p>
            <w:pPr>
              <w:pStyle w:val="Compact"/>
              <w:jc w:val="left"/>
            </w:pPr>
            <w:r>
              <w:t xml:space="preserve">controlled name; paper/author links; score; source/evidence JSON; review state</w:t>
            </w:r>
          </w:p>
        </w:tc>
      </w:tr>
      <w:tr>
        <w:trPr>
          <w:cantSplit/>
        </w:trPr>
        <w:tc>
          <w:tcPr/>
          <w:p>
            <w:pPr>
              <w:pStyle w:val="Compact"/>
              <w:jc w:val="left"/>
            </w:pPr>
            <w:r>
              <w:t xml:space="preserve">ReviewEvent</w:t>
            </w:r>
          </w:p>
        </w:tc>
        <w:tc>
          <w:tcPr/>
          <w:p>
            <w:pPr>
              <w:pStyle w:val="Compact"/>
              <w:jc w:val="left"/>
            </w:pPr>
            <w:r>
              <w:t xml:space="preserve">item type/ID; previous/new state; reviewer ID/name/type/role; request ID; notes; field diff; previous/event hashes; timestamp</w:t>
            </w:r>
          </w:p>
        </w:tc>
      </w:tr>
    </w:tbl>
    <w:bookmarkEnd w:id="180"/>
    <w:bookmarkEnd w:id="181"/>
    <w:bookmarkStart w:id="183" w:name="c.2-principal-api-surfaces"/>
    <w:p>
      <w:pPr>
        <w:pStyle w:val="Heading2"/>
      </w:pPr>
      <w:r>
        <w:t xml:space="preserve">C.2 Principal API surfaces</w:t>
      </w:r>
    </w:p>
    <w:p>
      <w:pPr>
        <w:pStyle w:val="FirstParagraph"/>
      </w:pPr>
      <w:hyperlink w:anchor="tab:api-summary">
        <w:r>
          <w:rPr>
            <w:rStyle w:val="Hyperlink"/>
          </w:rPr>
          <w:t xml:space="preserve">Table C.2</w:t>
        </w:r>
      </w:hyperlink>
      <w:r>
        <w:t xml:space="preserve"> </w:t>
      </w:r>
      <w:r>
        <w:t xml:space="preserve">separates public/transient functions from protected history and mutation operations.</w:t>
      </w:r>
    </w:p>
    <w:bookmarkStart w:id="182" w:name="tab:api-summary"/>
    <w:p>
      <w:pPr>
        <w:pStyle w:val="TableCaption"/>
      </w:pPr>
      <w:r>
        <w:t xml:space="preserve">Table C.2. User-facing API groups and security boundary.</w:t>
      </w:r>
    </w:p>
    <w:tbl>
      <w:tblPr>
        <w:tblStyle w:val="Table"/>
        <w:tblW w:type="auto" w:w="0"/>
        <w:tblLook w:firstRow="1" w:lastRow="0" w:firstColumn="0" w:lastColumn="0" w:noHBand="0" w:noVBand="0" w:val="0020"/>
        <w:jc w:val="start"/>
        <w:tblCaption w:val="Table C.2. User-facing API groups and security boundary."/>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Purpose</w:t>
            </w:r>
          </w:p>
        </w:tc>
        <w:tc>
          <w:tcPr/>
          <w:p>
            <w:pPr>
              <w:pStyle w:val="Compact"/>
              <w:jc w:val="left"/>
            </w:pPr>
            <w:r>
              <w:t xml:space="preserve">Access</w:t>
            </w:r>
          </w:p>
        </w:tc>
      </w:tr>
      <w:tr>
        <w:trPr>
          <w:cantSplit/>
        </w:trPr>
        <w:tc>
          <w:tcPr/>
          <w:p>
            <w:pPr>
              <w:pStyle w:val="Compact"/>
              <w:jc w:val="left"/>
            </w:pPr>
            <w:r>
              <w:t xml:space="preserve">papers</w:t>
            </w:r>
          </w:p>
        </w:tc>
        <w:tc>
          <w:tcPr/>
          <w:p>
            <w:pPr>
              <w:pStyle w:val="Compact"/>
              <w:jc w:val="left"/>
            </w:pPr>
            <w:r>
              <w:t xml:space="preserve">approved statistics, browse/detail, extraction and artifact views</w:t>
            </w:r>
          </w:p>
        </w:tc>
        <w:tc>
          <w:tcPr/>
          <w:p>
            <w:pPr>
              <w:pStyle w:val="Compact"/>
              <w:jc w:val="left"/>
            </w:pPr>
            <w:r>
              <w:t xml:space="preserve">public projection</w:t>
            </w:r>
          </w:p>
        </w:tc>
      </w:tr>
      <w:tr>
        <w:trPr>
          <w:cantSplit/>
        </w:trPr>
        <w:tc>
          <w:tcPr/>
          <w:p>
            <w:pPr>
              <w:pStyle w:val="Compact"/>
              <w:jc w:val="left"/>
            </w:pPr>
            <w:r>
              <w:t xml:space="preserve">search</w:t>
            </w:r>
          </w:p>
        </w:tc>
        <w:tc>
          <w:tcPr/>
          <w:p>
            <w:pPr>
              <w:pStyle w:val="Compact"/>
              <w:jc w:val="left"/>
            </w:pPr>
            <w:r>
              <w:t xml:space="preserve">projection-filtered retrieval; technical scope exists only in protected/local code</w:t>
            </w:r>
          </w:p>
        </w:tc>
        <w:tc>
          <w:tcPr/>
          <w:p>
            <w:pPr>
              <w:pStyle w:val="Compact"/>
              <w:jc w:val="left"/>
            </w:pPr>
            <w:r>
              <w:t xml:space="preserve">public projection</w:t>
            </w:r>
          </w:p>
        </w:tc>
      </w:tr>
      <w:tr>
        <w:trPr>
          <w:cantSplit/>
        </w:trPr>
        <w:tc>
          <w:tcPr/>
          <w:p>
            <w:pPr>
              <w:pStyle w:val="Compact"/>
              <w:jc w:val="left"/>
            </w:pPr>
            <w:r>
              <w:t xml:space="preserve">ask</w:t>
            </w:r>
          </w:p>
        </w:tc>
        <w:tc>
          <w:tcPr/>
          <w:p>
            <w:pPr>
              <w:pStyle w:val="Compact"/>
              <w:jc w:val="left"/>
            </w:pPr>
            <w:r>
              <w:t xml:space="preserve">transient public generation; technical evaluation/persisted history separated</w:t>
            </w:r>
          </w:p>
        </w:tc>
        <w:tc>
          <w:tcPr/>
          <w:p>
            <w:pPr>
              <w:pStyle w:val="Compact"/>
              <w:jc w:val="left"/>
            </w:pPr>
            <w:r>
              <w:t xml:space="preserve">public projection; protected/local technical</w:t>
            </w:r>
          </w:p>
        </w:tc>
      </w:tr>
      <w:tr>
        <w:trPr>
          <w:cantSplit/>
        </w:trPr>
        <w:tc>
          <w:tcPr/>
          <w:p>
            <w:pPr>
              <w:pStyle w:val="Compact"/>
              <w:jc w:val="left"/>
            </w:pPr>
            <w:r>
              <w:t xml:space="preserve">recommendations</w:t>
            </w:r>
          </w:p>
        </w:tc>
        <w:tc>
          <w:tcPr/>
          <w:p>
            <w:pPr>
              <w:pStyle w:val="Compact"/>
              <w:jc w:val="left"/>
            </w:pPr>
            <w:r>
              <w:t xml:space="preserve">transient conversational ideas plus retained structured Finder compatibility/history</w:t>
            </w:r>
          </w:p>
        </w:tc>
        <w:tc>
          <w:tcPr/>
          <w:p>
            <w:pPr>
              <w:pStyle w:val="Compact"/>
              <w:jc w:val="left"/>
            </w:pPr>
            <w:r>
              <w:t xml:space="preserve">public projection; protected Finder history</w:t>
            </w:r>
          </w:p>
        </w:tc>
      </w:tr>
      <w:tr>
        <w:trPr>
          <w:cantSplit/>
        </w:trPr>
        <w:tc>
          <w:tcPr/>
          <w:p>
            <w:pPr>
              <w:pStyle w:val="Compact"/>
              <w:jc w:val="left"/>
            </w:pPr>
            <w:r>
              <w:t xml:space="preserve">topics/authors</w:t>
            </w:r>
          </w:p>
        </w:tc>
        <w:tc>
          <w:tcPr/>
          <w:p>
            <w:pPr>
              <w:pStyle w:val="Compact"/>
              <w:jc w:val="left"/>
            </w:pPr>
            <w:r>
              <w:t xml:space="preserve">approved explorer relations; technical rebuild separated</w:t>
            </w:r>
          </w:p>
        </w:tc>
        <w:tc>
          <w:tcPr/>
          <w:p>
            <w:pPr>
              <w:pStyle w:val="Compact"/>
              <w:jc w:val="left"/>
            </w:pPr>
            <w:r>
              <w:t xml:space="preserve">public projection; protected rebuild</w:t>
            </w:r>
          </w:p>
        </w:tc>
      </w:tr>
      <w:tr>
        <w:trPr>
          <w:cantSplit/>
        </w:trPr>
        <w:tc>
          <w:tcPr/>
          <w:p>
            <w:pPr>
              <w:pStyle w:val="Compact"/>
              <w:jc w:val="left"/>
            </w:pPr>
            <w:r>
              <w:t xml:space="preserve">artifacts</w:t>
            </w:r>
          </w:p>
        </w:tc>
        <w:tc>
          <w:tcPr/>
          <w:p>
            <w:pPr>
              <w:pStyle w:val="Compact"/>
              <w:jc w:val="left"/>
            </w:pPr>
            <w:r>
              <w:t xml:space="preserve">generated output with explicit unreviewed/approved state; generation/review operations</w:t>
            </w:r>
          </w:p>
        </w:tc>
        <w:tc>
          <w:tcPr/>
          <w:p>
            <w:pPr>
              <w:pStyle w:val="Compact"/>
              <w:jc w:val="left"/>
            </w:pPr>
            <w:r>
              <w:t xml:space="preserve">mixed public/protected</w:t>
            </w:r>
          </w:p>
        </w:tc>
      </w:tr>
      <w:tr>
        <w:trPr>
          <w:cantSplit/>
        </w:trPr>
        <w:tc>
          <w:tcPr/>
          <w:p>
            <w:pPr>
              <w:pStyle w:val="Compact"/>
              <w:jc w:val="left"/>
            </w:pPr>
            <w:r>
              <w:t xml:space="preserve">evaluation</w:t>
            </w:r>
          </w:p>
        </w:tc>
        <w:tc>
          <w:tcPr/>
          <w:p>
            <w:pPr>
              <w:pStyle w:val="Compact"/>
              <w:jc w:val="left"/>
            </w:pPr>
            <w:r>
              <w:t xml:space="preserve">evaluation state, corpus/index freshness, and public-safe results</w:t>
            </w:r>
          </w:p>
        </w:tc>
        <w:tc>
          <w:tcPr/>
          <w:p>
            <w:pPr>
              <w:pStyle w:val="Compact"/>
              <w:jc w:val="left"/>
            </w:pPr>
            <w:r>
              <w:t xml:space="preserve">public read</w:t>
            </w:r>
          </w:p>
        </w:tc>
      </w:tr>
      <w:tr>
        <w:trPr>
          <w:cantSplit/>
        </w:trPr>
        <w:tc>
          <w:tcPr/>
          <w:p>
            <w:pPr>
              <w:pStyle w:val="Compact"/>
              <w:jc w:val="left"/>
            </w:pPr>
            <w:r>
              <w:t xml:space="preserve">authentication/admin</w:t>
            </w:r>
          </w:p>
        </w:tc>
        <w:tc>
          <w:tcPr/>
          <w:p>
            <w:pPr>
              <w:pStyle w:val="Compact"/>
              <w:jc w:val="left"/>
            </w:pPr>
            <w:r>
              <w:t xml:space="preserve">local sessions and service actors; queues, feature/model/account/sync controls, preview-bound mutations, events, corrections</w:t>
            </w:r>
          </w:p>
        </w:tc>
        <w:tc>
          <w:tcPr/>
          <w:p>
            <w:pPr>
              <w:pStyle w:val="Compact"/>
              <w:jc w:val="left"/>
            </w:pPr>
            <w:r>
              <w:t xml:space="preserve">protected reviewer/admin</w:t>
            </w:r>
          </w:p>
        </w:tc>
      </w:tr>
      <w:tr>
        <w:trPr>
          <w:cantSplit/>
        </w:trPr>
        <w:tc>
          <w:tcPr/>
          <w:p>
            <w:pPr>
              <w:pStyle w:val="Compact"/>
              <w:jc w:val="left"/>
            </w:pPr>
            <w:r>
              <w:t xml:space="preserve">health/readiness</w:t>
            </w:r>
          </w:p>
        </w:tc>
        <w:tc>
          <w:tcPr/>
          <w:p>
            <w:pPr>
              <w:pStyle w:val="Compact"/>
              <w:jc w:val="left"/>
            </w:pPr>
            <w:r>
              <w:t xml:space="preserve">liveness and database/index completeness state</w:t>
            </w:r>
          </w:p>
        </w:tc>
        <w:tc>
          <w:tcPr/>
          <w:p>
            <w:pPr>
              <w:pStyle w:val="Compact"/>
              <w:jc w:val="left"/>
            </w:pPr>
            <w:r>
              <w:t xml:space="preserve">public read</w:t>
            </w:r>
          </w:p>
        </w:tc>
      </w:tr>
    </w:tbl>
    <w:bookmarkEnd w:id="182"/>
    <w:p>
      <w:pPr>
        <w:pStyle w:val="BodyText"/>
      </w:pPr>
      <w:r>
        <w:t xml:space="preserve">FastAPI’s generated OpenAPI document is available only in local-demo mode. Production disables interactive docs unless an operator creates an explicit boundary. Public request models expose no technical-scope selector. Public serializers redact local paths, private reviewer notes, draft corrections, restricted source text, and technical identity hashes where appropriate.</w:t>
      </w:r>
    </w:p>
    <w:bookmarkEnd w:id="183"/>
    <w:bookmarkStart w:id="184" w:name="c.3-review-state-semantics"/>
    <w:p>
      <w:pPr>
        <w:pStyle w:val="Heading2"/>
      </w:pPr>
      <w:r>
        <w:t xml:space="preserve">C.3 Review-state semantics</w:t>
      </w:r>
    </w:p>
    <w:p>
      <w:pPr>
        <w:pStyle w:val="FirstParagraph"/>
      </w:pPr>
      <w:r>
        <w:rPr>
          <w:rStyle w:val="VerbatimChar"/>
        </w:rPr>
        <w:t xml:space="preserve">needs_review</w:t>
      </w:r>
      <w:r>
        <w:t xml:space="preserve"> </w:t>
      </w:r>
      <w:r>
        <w:t xml:space="preserve">denotes unreviewed content;</w:t>
      </w:r>
      <w:r>
        <w:t xml:space="preserve"> </w:t>
      </w:r>
      <w:r>
        <w:rPr>
          <w:rStyle w:val="VerbatimChar"/>
        </w:rPr>
        <w:t xml:space="preserve">ai_reviewed</w:t>
      </w:r>
      <w:r>
        <w:t xml:space="preserve"> </w:t>
      </w:r>
      <w:r>
        <w:t xml:space="preserve">denotes declared AI formative review;</w:t>
      </w:r>
      <w:r>
        <w:t xml:space="preserve"> </w:t>
      </w:r>
      <w:r>
        <w:rPr>
          <w:rStyle w:val="VerbatimChar"/>
        </w:rPr>
        <w:t xml:space="preserve">needs_reprocess</w:t>
      </w:r>
      <w:r>
        <w:t xml:space="preserve"> </w:t>
      </w:r>
      <w:r>
        <w:t xml:space="preserve">denotes preserved content that cannot be safely reproduced under current configuration;</w:t>
      </w:r>
      <w:r>
        <w:t xml:space="preserve"> </w:t>
      </w:r>
      <w:r>
        <w:rPr>
          <w:rStyle w:val="VerbatimChar"/>
        </w:rPr>
        <w:t xml:space="preserve">reviewed</w:t>
      </w:r>
      <w:r>
        <w:t xml:space="preserve">,</w:t>
      </w:r>
      <w:r>
        <w:t xml:space="preserve"> </w:t>
      </w:r>
      <w:r>
        <w:rPr>
          <w:rStyle w:val="VerbatimChar"/>
        </w:rPr>
        <w:t xml:space="preserve">approved</w:t>
      </w:r>
      <w:r>
        <w:t xml:space="preserve">, and</w:t>
      </w:r>
      <w:r>
        <w:t xml:space="preserve"> </w:t>
      </w:r>
      <w:r>
        <w:rPr>
          <w:rStyle w:val="VerbatimChar"/>
        </w:rPr>
        <w:t xml:space="preserve">rejected</w:t>
      </w:r>
      <w:r>
        <w:t xml:space="preserve"> </w:t>
      </w:r>
      <w:r>
        <w:t xml:space="preserve">require a human actor with an appropriate role. Structural grounding remains separate from every review state.</w:t>
      </w:r>
    </w:p>
    <w:bookmarkEnd w:id="184"/>
    <w:bookmarkStart w:id="185" w:name="c.4-representative-executable-contracts"/>
    <w:p>
      <w:pPr>
        <w:pStyle w:val="Heading2"/>
      </w:pPr>
      <w:r>
        <w:t xml:space="preserve">C.4 Representative executable contracts</w:t>
      </w:r>
    </w:p>
    <w:p>
      <w:pPr>
        <w:pStyle w:val="FirstParagraph"/>
      </w:pPr>
      <w:r>
        <w:t xml:space="preserve">The following abridged listings show the implementation points behind the structured Finder, conversational Idea Generator, local-model identity, preview-bound administration, review, and privacy claims. They preserve operative field names and assertions while omitting imports, defaults not relevant to the claim, and test setup. The repository paths named in each explanation are authoritative; these excerpts are explanatory, not a second implementation.</w:t>
      </w:r>
    </w:p>
    <w:p>
      <w:pPr>
        <w:pStyle w:val="SourceCode"/>
      </w:pPr>
      <w:r>
        <w:rPr>
          <w:rStyle w:val="KeywordTok"/>
        </w:rPr>
        <w:t xml:space="preserve">class</w:t>
      </w:r>
      <w:r>
        <w:rPr>
          <w:rStyle w:val="NormalTok"/>
        </w:rPr>
        <w:t xml:space="preserve"> ExtensionFinderRequest(BaseModel):</w:t>
      </w:r>
      <w:r>
        <w:br/>
      </w:r>
      <w:r>
        <w:rPr>
          <w:rStyle w:val="NormalTok"/>
        </w:rPr>
        <w:t xml:space="preserve">    interests: </w:t>
      </w:r>
      <w:r>
        <w:rPr>
          <w:rStyle w:val="BuiltInTok"/>
        </w:rPr>
        <w:t xml:space="preserve">str</w:t>
      </w:r>
      <w:r>
        <w:rPr>
          <w:rStyle w:val="NormalTok"/>
        </w:rPr>
        <w:t xml:space="preserve"> </w:t>
      </w:r>
      <w:r>
        <w:rPr>
          <w:rStyle w:val="OperatorTok"/>
        </w:rPr>
        <w:t xml:space="preserve">=</w:t>
      </w:r>
      <w:r>
        <w:rPr>
          <w:rStyle w:val="NormalTok"/>
        </w:rPr>
        <w:t xml:space="preserve"> Field(min_length</w:t>
      </w:r>
      <w:r>
        <w:rPr>
          <w:rStyle w:val="OperatorTok"/>
        </w:rPr>
        <w:t xml:space="preserve">=</w:t>
      </w:r>
      <w:r>
        <w:rPr>
          <w:rStyle w:val="DecValTok"/>
        </w:rPr>
        <w:t xml:space="preserve">1</w:t>
      </w:r>
      <w:r>
        <w:rPr>
          <w:rStyle w:val="NormalTok"/>
        </w:rPr>
        <w:t xml:space="preserve">, max_length</w:t>
      </w:r>
      <w:r>
        <w:rPr>
          <w:rStyle w:val="OperatorTok"/>
        </w:rPr>
        <w:t xml:space="preserve">=</w:t>
      </w:r>
      <w:r>
        <w:rPr>
          <w:rStyle w:val="DecValTok"/>
        </w:rPr>
        <w:t xml:space="preserve">2_000</w:t>
      </w:r>
      <w:r>
        <w:rPr>
          <w:rStyle w:val="NormalTok"/>
        </w:rPr>
        <w:t xml:space="preserve">)</w:t>
      </w:r>
      <w:r>
        <w:br/>
      </w:r>
      <w:r>
        <w:rPr>
          <w:rStyle w:val="NormalTok"/>
        </w:rPr>
        <w:t xml:space="preserve">    skills: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 max_length</w:t>
      </w:r>
      <w:r>
        <w:rPr>
          <w:rStyle w:val="OperatorTok"/>
        </w:rPr>
        <w:t xml:space="preserve">=</w:t>
      </w:r>
      <w:r>
        <w:rPr>
          <w:rStyle w:val="DecValTok"/>
        </w:rPr>
        <w:t xml:space="preserve">50</w:t>
      </w:r>
      <w:r>
        <w:rPr>
          <w:rStyle w:val="NormalTok"/>
        </w:rPr>
        <w:t xml:space="preserve">)</w:t>
      </w:r>
      <w:r>
        <w:br/>
      </w:r>
      <w:r>
        <w:rPr>
          <w:rStyle w:val="NormalTok"/>
        </w:rPr>
        <w:t xml:space="preserve">    available_time: Literal[</w:t>
      </w:r>
      <w:r>
        <w:rPr>
          <w:rStyle w:val="StringTok"/>
        </w:rPr>
        <w:t xml:space="preserve">"2 weeks"</w:t>
      </w:r>
      <w:r>
        <w:rPr>
          <w:rStyle w:val="NormalTok"/>
        </w:rPr>
        <w:t xml:space="preserve">, </w:t>
      </w:r>
      <w:r>
        <w:rPr>
          <w:rStyle w:val="StringTok"/>
        </w:rPr>
        <w:t xml:space="preserve">"1 month"</w:t>
      </w:r>
      <w:r>
        <w:rPr>
          <w:rStyle w:val="NormalTok"/>
        </w:rPr>
        <w:t xml:space="preserve">, </w:t>
      </w:r>
      <w:r>
        <w:rPr>
          <w:rStyle w:val="StringTok"/>
        </w:rPr>
        <w:t xml:space="preserve">"semester"</w:t>
      </w:r>
      <w:r>
        <w:rPr>
          <w:rStyle w:val="NormalTok"/>
        </w:rPr>
        <w:t xml:space="preserve">]</w:t>
      </w:r>
      <w:r>
        <w:br/>
      </w:r>
      <w:r>
        <w:rPr>
          <w:rStyle w:val="NormalTok"/>
        </w:rPr>
        <w:t xml:space="preserve">    project_type: Literal[</w:t>
      </w:r>
      <w:r>
        <w:rPr>
          <w:rStyle w:val="StringTok"/>
        </w:rPr>
        <w:t xml:space="preserve">"software prototype"</w:t>
      </w:r>
      <w:r>
        <w:rPr>
          <w:rStyle w:val="NormalTok"/>
        </w:rPr>
        <w:t xml:space="preserve">, </w:t>
      </w:r>
      <w:r>
        <w:rPr>
          <w:rStyle w:val="StringTok"/>
        </w:rPr>
        <w:t xml:space="preserve">"data analysis"</w:t>
      </w:r>
      <w:r>
        <w:rPr>
          <w:rStyle w:val="NormalTok"/>
        </w:rPr>
        <w:t xml:space="preserve">,</w:t>
      </w:r>
      <w:r>
        <w:br/>
      </w:r>
      <w:r>
        <w:rPr>
          <w:rStyle w:val="NormalTok"/>
        </w:rPr>
        <w:t xml:space="preserve">                          </w:t>
      </w:r>
      <w:r>
        <w:rPr>
          <w:rStyle w:val="StringTok"/>
        </w:rPr>
        <w:t xml:space="preserve">"ML experiment"</w:t>
      </w:r>
      <w:r>
        <w:rPr>
          <w:rStyle w:val="NormalTok"/>
        </w:rPr>
        <w:t xml:space="preserve">, </w:t>
      </w:r>
      <w:r>
        <w:rPr>
          <w:rStyle w:val="StringTok"/>
        </w:rPr>
        <w:t xml:space="preserve">"dashboard/visualization"</w:t>
      </w:r>
      <w:r>
        <w:rPr>
          <w:rStyle w:val="NormalTok"/>
        </w:rPr>
        <w:t xml:space="preserve">, </w:t>
      </w:r>
      <w:r>
        <w:rPr>
          <w:rStyle w:val="StringTok"/>
        </w:rPr>
        <w:t xml:space="preserve">"other"</w:t>
      </w:r>
      <w:r>
        <w:rPr>
          <w:rStyle w:val="NormalTok"/>
        </w:rPr>
        <w:t xml:space="preserve">]</w:t>
      </w:r>
      <w:r>
        <w:br/>
      </w:r>
      <w:r>
        <w:rPr>
          <w:rStyle w:val="NormalTok"/>
        </w:rPr>
        <w:t xml:space="preserve">    data_constraints: </w:t>
      </w:r>
      <w:r>
        <w:rPr>
          <w:rStyle w:val="BuiltInTok"/>
        </w:rPr>
        <w:t xml:space="preserve">str</w:t>
      </w:r>
      <w:r>
        <w:rPr>
          <w:rStyle w:val="NormalTok"/>
        </w:rPr>
        <w:t xml:space="preserve"> </w:t>
      </w:r>
      <w:r>
        <w:rPr>
          <w:rStyle w:val="OperatorTok"/>
        </w:rPr>
        <w:t xml:space="preserve">=</w:t>
      </w:r>
      <w:r>
        <w:rPr>
          <w:rStyle w:val="NormalTok"/>
        </w:rPr>
        <w:t xml:space="preserve"> Field(max_length</w:t>
      </w:r>
      <w:r>
        <w:rPr>
          <w:rStyle w:val="OperatorTok"/>
        </w:rPr>
        <w:t xml:space="preserve">=</w:t>
      </w:r>
      <w:r>
        <w:rPr>
          <w:rStyle w:val="DecValTok"/>
        </w:rPr>
        <w:t xml:space="preserve">1_000</w:t>
      </w:r>
      <w:r>
        <w:rPr>
          <w:rStyle w:val="NormalTok"/>
        </w:rPr>
        <w:t xml:space="preserve">)</w:t>
      </w:r>
      <w:r>
        <w:br/>
      </w:r>
      <w:r>
        <w:rPr>
          <w:rStyle w:val="NormalTok"/>
        </w:rPr>
        <w:t xml:space="preserve">    preferred_difficulty: Literal[</w:t>
      </w:r>
      <w:r>
        <w:rPr>
          <w:rStyle w:val="StringTok"/>
        </w:rPr>
        <w:t xml:space="preserve">"easy"</w:t>
      </w:r>
      <w:r>
        <w:rPr>
          <w:rStyle w:val="NormalTok"/>
        </w:rPr>
        <w:t xml:space="preserve">, </w:t>
      </w:r>
      <w:r>
        <w:rPr>
          <w:rStyle w:val="StringTok"/>
        </w:rPr>
        <w:t xml:space="preserve">"medium"</w:t>
      </w:r>
      <w:r>
        <w:rPr>
          <w:rStyle w:val="NormalTok"/>
        </w:rPr>
        <w:t xml:space="preserve">, </w:t>
      </w:r>
      <w:r>
        <w:rPr>
          <w:rStyle w:val="StringTok"/>
        </w:rPr>
        <w:t xml:space="preserve">"hard"</w:t>
      </w:r>
      <w:r>
        <w:rPr>
          <w:rStyle w:val="NormalTok"/>
        </w:rPr>
        <w:t xml:space="preserve">]</w:t>
      </w:r>
      <w:r>
        <w:br/>
      </w:r>
      <w:r>
        <w:rPr>
          <w:rStyle w:val="NormalTok"/>
        </w:rPr>
        <w:t xml:space="preserve">    top_k: </w:t>
      </w:r>
      <w:r>
        <w:rPr>
          <w:rStyle w:val="BuiltInTok"/>
        </w:rPr>
        <w:t xml:space="preserve">int</w:t>
      </w:r>
      <w:r>
        <w:rPr>
          <w:rStyle w:val="NormalTok"/>
        </w:rPr>
        <w:t xml:space="preserve"> </w:t>
      </w:r>
      <w:r>
        <w:rPr>
          <w:rStyle w:val="OperatorTok"/>
        </w:rPr>
        <w:t xml:space="preserve">=</w:t>
      </w:r>
      <w:r>
        <w:rPr>
          <w:rStyle w:val="NormalTok"/>
        </w:rPr>
        <w:t xml:space="preserve"> Field(default</w:t>
      </w:r>
      <w:r>
        <w:rPr>
          <w:rStyle w:val="OperatorTok"/>
        </w:rPr>
        <w:t xml:space="preserve">=</w:t>
      </w:r>
      <w:r>
        <w:rPr>
          <w:rStyle w:val="DecValTok"/>
        </w:rPr>
        <w:t xml:space="preserve">5</w:t>
      </w:r>
      <w:r>
        <w:rPr>
          <w:rStyle w:val="NormalTok"/>
        </w:rPr>
        <w:t xml:space="preserve">, ge</w:t>
      </w:r>
      <w:r>
        <w:rPr>
          <w:rStyle w:val="OperatorTok"/>
        </w:rPr>
        <w:t xml:space="preserve">=</w:t>
      </w:r>
      <w:r>
        <w:rPr>
          <w:rStyle w:val="DecValTok"/>
        </w:rPr>
        <w:t xml:space="preserve">1</w:t>
      </w:r>
      <w:r>
        <w:rPr>
          <w:rStyle w:val="NormalTok"/>
        </w:rPr>
        <w:t xml:space="preserve">, le</w:t>
      </w:r>
      <w:r>
        <w:rPr>
          <w:rStyle w:val="OperatorTok"/>
        </w:rPr>
        <w:t xml:space="preserve">=</w:t>
      </w:r>
      <w:r>
        <w:rPr>
          <w:rStyle w:val="DecValTok"/>
        </w:rPr>
        <w:t xml:space="preserve">10</w:t>
      </w:r>
      <w:r>
        <w:rPr>
          <w:rStyle w:val="NormalTok"/>
        </w:rPr>
        <w:t xml:space="preserve">)</w:t>
      </w:r>
      <w:r>
        <w:br/>
      </w:r>
      <w:r>
        <w:rPr>
          <w:rStyle w:val="NormalTok"/>
        </w:rPr>
        <w:t xml:space="preserve">    retrieval_mode: Literal[</w:t>
      </w:r>
      <w:r>
        <w:rPr>
          <w:rStyle w:val="StringTok"/>
        </w:rPr>
        <w:t xml:space="preserve">"keyword"</w:t>
      </w:r>
      <w:r>
        <w:rPr>
          <w:rStyle w:val="NormalTok"/>
        </w:rPr>
        <w:t xml:space="preserve">, </w:t>
      </w:r>
      <w:r>
        <w:rPr>
          <w:rStyle w:val="StringTok"/>
        </w:rPr>
        <w:t xml:space="preserve">"feature_hashing"</w:t>
      </w:r>
      <w:r>
        <w:rPr>
          <w:rStyle w:val="NormalTok"/>
        </w:rPr>
        <w:t xml:space="preserve">,</w:t>
      </w:r>
      <w:r>
        <w:br/>
      </w:r>
      <w:r>
        <w:rPr>
          <w:rStyle w:val="NormalTok"/>
        </w:rPr>
        <w:t xml:space="preserve">                            </w:t>
      </w:r>
      <w:r>
        <w:rPr>
          <w:rStyle w:val="StringTok"/>
        </w:rPr>
        <w:t xml:space="preserve">"dense"</w:t>
      </w:r>
      <w:r>
        <w:rPr>
          <w:rStyle w:val="NormalTok"/>
        </w:rPr>
        <w:t xml:space="preserve">, </w:t>
      </w:r>
      <w:r>
        <w:rPr>
          <w:rStyle w:val="StringTok"/>
        </w:rPr>
        <w:t xml:space="preserve">"hybrid"</w:t>
      </w:r>
      <w:r>
        <w:rPr>
          <w:rStyle w:val="NormalTok"/>
        </w:rPr>
        <w:t xml:space="preserve">]</w:t>
      </w:r>
      <w:r>
        <w:br/>
      </w:r>
      <w:r>
        <w:br/>
      </w:r>
      <w:r>
        <w:rPr>
          <w:rStyle w:val="NormalTok"/>
        </w:rPr>
        <w:t xml:space="preserve">    </w:t>
      </w:r>
      <w:r>
        <w:rPr>
          <w:rStyle w:val="AttributeTok"/>
        </w:rPr>
        <w:t xml:space="preserve">@field_validator</w:t>
      </w:r>
      <w:r>
        <w:rPr>
          <w:rStyle w:val="NormalTok"/>
        </w:rPr>
        <w:t xml:space="preserve">(</w:t>
      </w:r>
      <w:r>
        <w:rPr>
          <w:rStyle w:val="StringTok"/>
        </w:rPr>
        <w:t xml:space="preserve">"interests"</w:t>
      </w:r>
      <w:r>
        <w:rPr>
          <w:rStyle w:val="NormalTok"/>
        </w:rPr>
        <w:t xml:space="preserve">)</w:t>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interests_must_not_be_blank(cls, value: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value.strip():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"interests must not be empty"</w:t>
      </w:r>
      <w:r>
        <w:rPr>
          <w:rStyle w:val="NormalTok"/>
        </w:rPr>
        <w:t xml:space="preserve">)</w:t>
      </w:r>
      <w:r>
        <w:br/>
      </w:r>
      <w:r>
        <w:rPr>
          <w:rStyle w:val="NormalTok"/>
        </w:rPr>
        <w:t xml:space="preserve">        </w:t>
      </w:r>
      <w:r>
        <w:rPr>
          <w:rStyle w:val="ControlFlowTok"/>
        </w:rPr>
        <w:t xml:space="preserve">return</w:t>
      </w:r>
      <w:r>
        <w:rPr>
          <w:rStyle w:val="NormalTok"/>
        </w:rPr>
        <w:t xml:space="preserve"> value.strip()</w:t>
      </w:r>
    </w:p>
    <w:p>
      <w:pPr>
        <w:pStyle w:val="FirstParagraph"/>
      </w:pPr>
      <w:r>
        <w:rPr>
          <w:bCs/>
          <w:b/>
        </w:rPr>
        <w:t xml:space="preserve">Contract.</w:t>
      </w:r>
      <w:r>
        <w:t xml:space="preserve"> </w:t>
      </w:r>
      <w:r>
        <w:rPr>
          <w:bCs/>
          <w:b/>
        </w:rPr>
        <w:t xml:space="preserve">Path:</w:t>
      </w:r>
      <w:r>
        <w:t xml:space="preserve"> </w:t>
      </w:r>
      <w:r>
        <w:rPr>
          <w:rStyle w:val="VerbatimChar"/>
        </w:rPr>
        <w:t xml:space="preserve">backend/app/intelligence/extension_recommender.py</w:t>
      </w:r>
      <w:r>
        <w:t xml:space="preserve">.</w:t>
      </w:r>
      <w:r>
        <w:t xml:space="preserve"> </w:t>
      </w:r>
      <w:r>
        <w:rPr>
          <w:bCs/>
          <w:b/>
        </w:rPr>
        <w:t xml:space="preserve">Rationale:</w:t>
      </w:r>
      <w:r>
        <w:t xml:space="preserve"> </w:t>
      </w:r>
      <w:r>
        <w:t xml:space="preserve">bound the public profile and make supported choices explicit.</w:t>
      </w:r>
      <w:r>
        <w:t xml:space="preserve"> </w:t>
      </w:r>
      <w:r>
        <w:rPr>
          <w:bCs/>
          <w:b/>
        </w:rPr>
        <w:t xml:space="preserve">Input/output:</w:t>
      </w:r>
      <w:r>
        <w:t xml:space="preserve"> </w:t>
      </w:r>
      <w:r>
        <w:t xml:space="preserve">untrusted profile JSON becomes a normalized typed request.</w:t>
      </w:r>
      <w:r>
        <w:t xml:space="preserve"> </w:t>
      </w:r>
      <w:r>
        <w:rPr>
          <w:bCs/>
          <w:b/>
        </w:rPr>
        <w:t xml:space="preserve">Failure:</w:t>
      </w:r>
      <w:r>
        <w:t xml:space="preserve"> </w:t>
      </w:r>
      <w:r>
        <w:t xml:space="preserve">blank, oversized, or out-of-enum values produce validation errors; declared skills, time, and data access remain unverified.</w:t>
      </w:r>
      <w:r>
        <w:t xml:space="preserve"> </w:t>
      </w:r>
      <w:r>
        <w:rPr>
          <w:bCs/>
          <w:b/>
        </w:rPr>
        <w:t xml:space="preserve">Trace:</w:t>
      </w:r>
      <w:r>
        <w:t xml:space="preserve"> </w:t>
      </w:r>
      <w:r>
        <w:t xml:space="preserve">RQ4 and UI-03.</w:t>
      </w:r>
    </w:p>
    <w:p>
      <w:pPr>
        <w:pStyle w:val="SourceCode"/>
      </w:pPr>
      <w:r>
        <w:rPr>
          <w:rStyle w:val="AttributeTok"/>
        </w:rPr>
        <w:t xml:space="preserve">@router.post</w:t>
      </w:r>
      <w:r>
        <w:rPr>
          <w:rStyle w:val="NormalTok"/>
        </w:rPr>
        <w:t xml:space="preserve">(</w:t>
      </w:r>
      <w:r>
        <w:rPr>
          <w:rStyle w:val="StringTok"/>
        </w:rPr>
        <w:t xml:space="preserve">"/extensions"</w:t>
      </w:r>
      <w:r>
        <w:rPr>
          <w:rStyle w:val="NormalTok"/>
        </w:rPr>
        <w:t xml:space="preserve">)</w:t>
      </w:r>
      <w:r>
        <w:br/>
      </w:r>
      <w:r>
        <w:rPr>
          <w:rStyle w:val="KeywordTok"/>
        </w:rPr>
        <w:t xml:space="preserve">def</w:t>
      </w:r>
      <w:r>
        <w:rPr>
          <w:rStyle w:val="NormalTok"/>
        </w:rPr>
        <w:t xml:space="preserve"> create_extension_recommendations(request, session):</w:t>
      </w:r>
      <w:r>
        <w:br/>
      </w:r>
      <w:r>
        <w:rPr>
          <w:rStyle w:val="NormalTok"/>
        </w:rPr>
        <w:t xml:space="preserve">    </w:t>
      </w:r>
      <w:r>
        <w:rPr>
          <w:rStyle w:val="ControlFlowTok"/>
        </w:rPr>
        <w:t xml:space="preserve">return</w:t>
      </w:r>
      <w:r>
        <w:rPr>
          <w:rStyle w:val="NormalTok"/>
        </w:rPr>
        <w:t xml:space="preserve"> recommend_extensions(session, request, persist</w:t>
      </w:r>
      <w:r>
        <w:rPr>
          <w:rStyle w:val="OperatorTok"/>
        </w:rPr>
        <w:t xml:space="preserve">=</w:t>
      </w:r>
      <w:r>
        <w:rPr>
          <w:rStyle w:val="VariableTok"/>
        </w:rPr>
        <w:t xml:space="preserve">False</w:t>
      </w:r>
      <w:r>
        <w:rPr>
          <w:rStyle w:val="NormalTok"/>
        </w:rPr>
        <w:t xml:space="preserve">)</w:t>
      </w:r>
      <w:r>
        <w:br/>
      </w:r>
      <w:r>
        <w:br/>
      </w:r>
      <w:r>
        <w:rPr>
          <w:rStyle w:val="AttributeTok"/>
        </w:rPr>
        <w:t xml:space="preserve">@router.get</w:t>
      </w:r>
      <w:r>
        <w:rPr>
          <w:rStyle w:val="NormalTok"/>
        </w:rPr>
        <w:t xml:space="preserve">(</w:t>
      </w:r>
      <w:r>
        <w:rPr>
          <w:rStyle w:val="StringTok"/>
        </w:rPr>
        <w:t xml:space="preserve">"/extensions/history"</w:t>
      </w:r>
      <w:r>
        <w:rPr>
          <w:rStyle w:val="NormalTok"/>
        </w:rPr>
        <w:t xml:space="preserve">)</w:t>
      </w:r>
      <w:r>
        <w:br/>
      </w:r>
      <w:r>
        <w:rPr>
          <w:rStyle w:val="KeywordTok"/>
        </w:rPr>
        <w:t xml:space="preserve">def</w:t>
      </w:r>
      <w:r>
        <w:rPr>
          <w:rStyle w:val="NormalTok"/>
        </w:rPr>
        <w:t xml:space="preserve"> extension_recommendation_history(</w:t>
      </w:r>
      <w:r>
        <w:br/>
      </w:r>
      <w:r>
        <w:rPr>
          <w:rStyle w:val="NormalTok"/>
        </w:rPr>
        <w:t xml:space="preserve">    session,</w:t>
      </w:r>
      <w:r>
        <w:br/>
      </w:r>
      <w:r>
        <w:rPr>
          <w:rStyle w:val="NormalTok"/>
        </w:rPr>
        <w:t xml:space="preserve">    _actor: Annotated[AuthenticatedActor, Depends(require_reviewer)],</w:t>
      </w:r>
      <w:r>
        <w:br/>
      </w:r>
      <w:r>
        <w:rPr>
          <w:rStyle w:val="NormalTok"/>
        </w:rPr>
        <w:t xml:space="preserve">):</w:t>
      </w:r>
      <w:r>
        <w:br/>
      </w:r>
      <w:r>
        <w:rPr>
          <w:rStyle w:val="NormalTok"/>
        </w:rPr>
        <w:t xml:space="preserve">    records </w:t>
      </w:r>
      <w:r>
        <w:rPr>
          <w:rStyle w:val="OperatorTok"/>
        </w:rPr>
        <w:t xml:space="preserve">=</w:t>
      </w:r>
      <w:r>
        <w:rPr>
          <w:rStyle w:val="NormalTok"/>
        </w:rPr>
        <w:t xml:space="preserve"> session.</w:t>
      </w:r>
      <w:r>
        <w:rPr>
          <w:rStyle w:val="BuiltInTok"/>
        </w:rPr>
        <w:t xml:space="preserve">exec</w:t>
      </w:r>
      <w:r>
        <w:rPr>
          <w:rStyle w:val="NormalTok"/>
        </w:rPr>
        <w:t xml:space="preserve">(select(ThesisRecommendation)).</w:t>
      </w:r>
      <w:r>
        <w:rPr>
          <w:rStyle w:val="BuiltInTok"/>
        </w:rPr>
        <w:t xml:space="preserve">all</w:t>
      </w:r>
      <w:r>
        <w:rPr>
          <w:rStyle w:val="NormalTok"/>
        </w:rPr>
        <w:t xml:space="preserve">()</w:t>
      </w:r>
      <w:r>
        <w:br/>
      </w:r>
      <w:r>
        <w:rPr>
          <w:rStyle w:val="NormalTok"/>
        </w:rPr>
        <w:t xml:space="preserve">    </w:t>
      </w:r>
      <w:r>
        <w:rPr>
          <w:rStyle w:val="ControlFlowTok"/>
        </w:rPr>
        <w:t xml:space="preserve">return</w:t>
      </w:r>
      <w:r>
        <w:rPr>
          <w:rStyle w:val="NormalTok"/>
        </w:rPr>
        <w:t xml:space="preserve"> [serialize_recommendation(record) </w:t>
      </w:r>
      <w:r>
        <w:rPr>
          <w:rStyle w:val="ControlFlowTok"/>
        </w:rPr>
        <w:t xml:space="preserve">for</w:t>
      </w:r>
      <w:r>
        <w:rPr>
          <w:rStyle w:val="NormalTok"/>
        </w:rPr>
        <w:t xml:space="preserve"> record </w:t>
      </w:r>
      <w:r>
        <w:rPr>
          <w:rStyle w:val="KeywordTok"/>
        </w:rPr>
        <w:t xml:space="preserve">in</w:t>
      </w:r>
      <w:r>
        <w:rPr>
          <w:rStyle w:val="NormalTok"/>
        </w:rPr>
        <w:t xml:space="preserve"> records]</w:t>
      </w:r>
    </w:p>
    <w:p>
      <w:pPr>
        <w:pStyle w:val="FirstParagraph"/>
      </w:pPr>
      <w:r>
        <w:rPr>
          <w:bCs/>
          <w:b/>
        </w:rPr>
        <w:t xml:space="preserve">Contract.</w:t>
      </w:r>
      <w:r>
        <w:t xml:space="preserve"> </w:t>
      </w:r>
      <w:r>
        <w:rPr>
          <w:bCs/>
          <w:b/>
        </w:rPr>
        <w:t xml:space="preserve">Path:</w:t>
      </w:r>
      <w:r>
        <w:t xml:space="preserve"> </w:t>
      </w:r>
      <w:r>
        <w:rPr>
          <w:rStyle w:val="VerbatimChar"/>
        </w:rPr>
        <w:t xml:space="preserve">backend/app/api/recommendations.py</w:t>
      </w:r>
      <w:r>
        <w:t xml:space="preserve">; the prefix yields</w:t>
      </w:r>
      <w:r>
        <w:t xml:space="preserve"> </w:t>
      </w:r>
      <w:r>
        <w:rPr>
          <w:rStyle w:val="VerbatimChar"/>
        </w:rPr>
        <w:t xml:space="preserve">POST /api/recommendations/extensions</w:t>
      </w:r>
      <w:r>
        <w:t xml:space="preserve">.</w:t>
      </w:r>
      <w:r>
        <w:t xml:space="preserve"> </w:t>
      </w:r>
      <w:r>
        <w:rPr>
          <w:bCs/>
          <w:b/>
        </w:rPr>
        <w:t xml:space="preserve">Rationale:</w:t>
      </w:r>
      <w:r>
        <w:t xml:space="preserve"> </w:t>
      </w:r>
      <w:r>
        <w:t xml:space="preserve">separate public advice from review history.</w:t>
      </w:r>
      <w:r>
        <w:t xml:space="preserve"> </w:t>
      </w:r>
      <w:r>
        <w:rPr>
          <w:bCs/>
          <w:b/>
        </w:rPr>
        <w:t xml:space="preserve">Input/output:</w:t>
      </w:r>
      <w:r>
        <w:t xml:space="preserve"> </w:t>
      </w:r>
      <w:r>
        <w:t xml:space="preserve">a validated profile returns a transient recommendation; a reviewer-authenticated read returns serialized stored records.</w:t>
      </w:r>
      <w:r>
        <w:t xml:space="preserve"> </w:t>
      </w:r>
      <w:r>
        <w:rPr>
          <w:bCs/>
          <w:b/>
        </w:rPr>
        <w:t xml:space="preserve">Failure:</w:t>
      </w:r>
      <w:r>
        <w:t xml:space="preserve"> </w:t>
      </w:r>
      <w:r>
        <w:t xml:space="preserve">public history access is rejected and public generation cannot request persistence.</w:t>
      </w:r>
      <w:r>
        <w:t xml:space="preserve"> </w:t>
      </w:r>
      <w:r>
        <w:rPr>
          <w:bCs/>
          <w:b/>
        </w:rPr>
        <w:t xml:space="preserve">Trace:</w:t>
      </w:r>
      <w:r>
        <w:t xml:space="preserve"> </w:t>
      </w:r>
      <w:r>
        <w:t xml:space="preserve">RQ4/RQ7 and UI-03, UI-06, UI-09.</w:t>
      </w:r>
    </w:p>
    <w:p>
      <w:pPr>
        <w:pStyle w:val="SourceCode"/>
      </w:pPr>
      <w:r>
        <w:rPr>
          <w:rStyle w:val="NormalTok"/>
        </w:rPr>
        <w:t xml:space="preserve">retrieval </w:t>
      </w:r>
      <w:r>
        <w:rPr>
          <w:rStyle w:val="OperatorTok"/>
        </w:rPr>
        <w:t xml:space="preserve">=</w:t>
      </w:r>
      <w:r>
        <w:rPr>
          <w:rStyle w:val="NormalTok"/>
        </w:rPr>
        <w:t xml:space="preserve"> retrieve(session, retrieval_query,</w:t>
      </w:r>
      <w:r>
        <w:br/>
      </w:r>
      <w:r>
        <w:rPr>
          <w:rStyle w:val="NormalTok"/>
        </w:rPr>
        <w:t xml:space="preserve">                     mode</w:t>
      </w:r>
      <w:r>
        <w:rPr>
          <w:rStyle w:val="OperatorTok"/>
        </w:rPr>
        <w:t xml:space="preserve">=</w:t>
      </w:r>
      <w:r>
        <w:rPr>
          <w:rStyle w:val="StringTok"/>
        </w:rPr>
        <w:t xml:space="preserve">"keyword"</w:t>
      </w:r>
      <w:r>
        <w:rPr>
          <w:rStyle w:val="NormalTok"/>
        </w:rPr>
        <w:t xml:space="preserve">, top_k</w:t>
      </w:r>
      <w:r>
        <w:rPr>
          <w:rStyle w:val="OperatorTok"/>
        </w:rPr>
        <w:t xml:space="preserve">=</w:t>
      </w:r>
      <w:r>
        <w:rPr>
          <w:rStyle w:val="DecValTok"/>
        </w:rPr>
        <w:t xml:space="preserve">12</w:t>
      </w:r>
      <w:r>
        <w:rPr>
          <w:rStyle w:val="NormalTok"/>
        </w:rPr>
        <w:t xml:space="preserve">,</w:t>
      </w:r>
      <w:r>
        <w:br/>
      </w:r>
      <w:r>
        <w:rPr>
          <w:rStyle w:val="NormalTok"/>
        </w:rPr>
        <w:t xml:space="preserve">                     include_text</w:t>
      </w:r>
      <w:r>
        <w:rPr>
          <w:rStyle w:val="OperatorTok"/>
        </w:rPr>
        <w:t xml:space="preserve">=</w:t>
      </w:r>
      <w:r>
        <w:rPr>
          <w:rStyle w:val="VariableTok"/>
        </w:rPr>
        <w:t xml:space="preserve">True</w:t>
      </w:r>
      <w:r>
        <w:rPr>
          <w:rStyle w:val="NormalTok"/>
        </w:rPr>
        <w:t xml:space="preserve">, scope</w:t>
      </w:r>
      <w:r>
        <w:rPr>
          <w:rStyle w:val="OperatorTok"/>
        </w:rPr>
        <w:t xml:space="preserve">=</w:t>
      </w:r>
      <w:r>
        <w:rPr>
          <w:rStyle w:val="NormalTok"/>
        </w:rPr>
        <w:t xml:space="preserve">retrieval_scope)</w:t>
      </w:r>
      <w:r>
        <w:br/>
      </w:r>
      <w:r>
        <w:rPr>
          <w:rStyle w:val="NormalTok"/>
        </w:rPr>
        <w:t xml:space="preserve">answerability </w:t>
      </w:r>
      <w:r>
        <w:rPr>
          <w:rStyle w:val="OperatorTok"/>
        </w:rPr>
        <w:t xml:space="preserve">=</w:t>
      </w:r>
      <w:r>
        <w:rPr>
          <w:rStyle w:val="NormalTok"/>
        </w:rPr>
        <w:t xml:space="preserve"> assess_answerability(retrieval_query,</w:t>
      </w:r>
      <w:r>
        <w:br/>
      </w:r>
      <w:r>
        <w:rPr>
          <w:rStyle w:val="NormalTok"/>
        </w:rPr>
        <w:t xml:space="preserve">                                      retrieval[</w:t>
      </w:r>
      <w:r>
        <w:rPr>
          <w:rStyle w:val="StringTok"/>
        </w:rPr>
        <w:t xml:space="preserve">"results"</w:t>
      </w:r>
      <w:r>
        <w:rPr>
          <w:rStyle w:val="NormalTok"/>
        </w:rPr>
        <w:t xml:space="preserve">])</w:t>
      </w:r>
      <w:r>
        <w:br/>
      </w:r>
      <w:r>
        <w:rPr>
          <w:rStyle w:val="NormalTok"/>
        </w:rPr>
        <w:t xml:space="preserve">matched </w:t>
      </w:r>
      <w:r>
        <w:rPr>
          <w:rStyle w:val="OperatorTok"/>
        </w:rPr>
        <w:t xml:space="preserve">=</w:t>
      </w:r>
      <w:r>
        <w:rPr>
          <w:rStyle w:val="NormalTok"/>
        </w:rPr>
        <w:t xml:space="preserve"> [row </w:t>
      </w:r>
      <w:r>
        <w:rPr>
          <w:rStyle w:val="ControlFlowTok"/>
        </w:rPr>
        <w:t xml:space="preserve">for</w:t>
      </w:r>
      <w:r>
        <w:rPr>
          <w:rStyle w:val="NormalTok"/>
        </w:rPr>
        <w:t xml:space="preserve"> row </w:t>
      </w:r>
      <w:r>
        <w:rPr>
          <w:rStyle w:val="KeywordTok"/>
        </w:rPr>
        <w:t xml:space="preserve">in</w:t>
      </w:r>
      <w:r>
        <w:rPr>
          <w:rStyle w:val="NormalTok"/>
        </w:rPr>
        <w:t xml:space="preserve"> retrieval[</w:t>
      </w:r>
      <w:r>
        <w:rPr>
          <w:rStyle w:val="StringTok"/>
        </w:rPr>
        <w:t xml:space="preserve">"results"</w:t>
      </w:r>
      <w:r>
        <w:rPr>
          <w:rStyle w:val="NormalTok"/>
        </w:rPr>
        <w:t xml:space="preserve">]</w:t>
      </w:r>
      <w:r>
        <w:br/>
      </w:r>
      <w:r>
        <w:rPr>
          <w:rStyle w:val="NormalTok"/>
        </w:rPr>
        <w:t xml:space="preserve">           </w:t>
      </w:r>
      <w:r>
        <w:rPr>
          <w:rStyle w:val="ControlFlowTok"/>
        </w:rPr>
        <w:t xml:space="preserve">if</w:t>
      </w:r>
      <w:r>
        <w:rPr>
          <w:rStyle w:val="NormalTok"/>
        </w:rPr>
        <w:t xml:space="preserve"> row[</w:t>
      </w:r>
      <w:r>
        <w:rPr>
          <w:rStyle w:val="StringTok"/>
        </w:rPr>
        <w:t xml:space="preserve">"chunk_id"</w:t>
      </w:r>
      <w:r>
        <w:rPr>
          <w:rStyle w:val="NormalTok"/>
        </w:rPr>
        <w:t xml:space="preserve">] </w:t>
      </w:r>
      <w:r>
        <w:rPr>
          <w:rStyle w:val="KeywordTok"/>
        </w:rPr>
        <w:t xml:space="preserve">in</w:t>
      </w:r>
      <w:r>
        <w:rPr>
          <w:rStyle w:val="NormalTok"/>
        </w:rPr>
        <w:t xml:space="preserve"> answerability[</w:t>
      </w:r>
      <w:r>
        <w:rPr>
          <w:rStyle w:val="StringTok"/>
        </w:rPr>
        <w:t xml:space="preserve">"relevant_chunk_ids"</w:t>
      </w:r>
      <w:r>
        <w:rPr>
          <w:rStyle w:val="NormalTok"/>
        </w:rPr>
        <w:t xml:space="preserve">]]</w:t>
      </w:r>
      <w:r>
        <w:br/>
      </w:r>
      <w:r>
        <w:rPr>
          <w:rStyle w:val="NormalTok"/>
        </w:rPr>
        <w:t xml:space="preserve">source_rows, alias_to_result </w:t>
      </w:r>
      <w:r>
        <w:rPr>
          <w:rStyle w:val="OperatorTok"/>
        </w:rPr>
        <w:t xml:space="preserve">=</w:t>
      </w:r>
      <w:r>
        <w:rPr>
          <w:rStyle w:val="NormalTok"/>
        </w:rPr>
        <w:t xml:space="preserve"> build_source_rows(matched)</w:t>
      </w:r>
      <w:r>
        <w:br/>
      </w:r>
      <w:r>
        <w:rPr>
          <w:rStyle w:val="NormalTok"/>
        </w:rPr>
        <w:t xml:space="preserve">model_output, metadata, warnings </w:t>
      </w:r>
      <w:r>
        <w:rPr>
          <w:rStyle w:val="OperatorTok"/>
        </w:rPr>
        <w:t xml:space="preserve">=</w:t>
      </w:r>
      <w:r>
        <w:rPr>
          <w:rStyle w:val="NormalTok"/>
        </w:rPr>
        <w:t xml:space="preserve"> generate_strict_ollama_output(</w:t>
      </w:r>
      <w:r>
        <w:br/>
      </w:r>
      <w:r>
        <w:rPr>
          <w:rStyle w:val="NormalTok"/>
        </w:rPr>
        <w:t xml:space="preserve">    build_idea_prompt(request, source_rows), settings</w:t>
      </w:r>
      <w:r>
        <w:rPr>
          <w:rStyle w:val="OperatorTok"/>
        </w:rPr>
        <w:t xml:space="preserve">=</w:t>
      </w:r>
      <w:r>
        <w:rPr>
          <w:rStyle w:val="NormalTok"/>
        </w:rPr>
        <w:t xml:space="preserve">settings)</w:t>
      </w:r>
      <w:r>
        <w:br/>
      </w:r>
      <w:r>
        <w:br/>
      </w:r>
      <w:r>
        <w:rPr>
          <w:rStyle w:val="NormalTok"/>
        </w:rPr>
        <w:t xml:space="preserve">valid_aliases </w:t>
      </w:r>
      <w:r>
        <w:rPr>
          <w:rStyle w:val="OperatorTok"/>
        </w:rPr>
        <w:t xml:space="preserve">=</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draft.source_aliases</w:t>
      </w:r>
      <w:r>
        <w:br/>
      </w:r>
      <w:r>
        <w:rPr>
          <w:rStyle w:val="NormalTok"/>
        </w:rPr>
        <w:t xml:space="preserve">                 </w:t>
      </w:r>
      <w:r>
        <w:rPr>
          <w:rStyle w:val="ControlFlowTok"/>
        </w:rPr>
        <w:t xml:space="preserve">if</w:t>
      </w:r>
      <w:r>
        <w:rPr>
          <w:rStyle w:val="NormalTok"/>
        </w:rPr>
        <w:t xml:space="preserve"> a </w:t>
      </w:r>
      <w:r>
        <w:rPr>
          <w:rStyle w:val="KeywordTok"/>
        </w:rPr>
        <w:t xml:space="preserve">in</w:t>
      </w:r>
      <w:r>
        <w:rPr>
          <w:rStyle w:val="NormalTok"/>
        </w:rPr>
        <w:t xml:space="preserve"> alias_to_result]</w:t>
      </w:r>
      <w:r>
        <w:br/>
      </w:r>
      <w:r>
        <w:rPr>
          <w:rStyle w:val="NormalTok"/>
        </w:rPr>
        <w:t xml:space="preserve">idea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draft.model_dump(exclude</w:t>
      </w:r>
      <w:r>
        <w:rPr>
          <w:rStyle w:val="OperatorTok"/>
        </w:rPr>
        <w:t xml:space="preserve">=</w:t>
      </w:r>
      <w:r>
        <w:rPr>
          <w:rStyle w:val="NormalTok"/>
        </w:rPr>
        <w:t xml:space="preserve">{</w:t>
      </w:r>
      <w:r>
        <w:rPr>
          <w:rStyle w:val="StringTok"/>
        </w:rPr>
        <w:t xml:space="preserve">"source_aliases"</w:t>
      </w:r>
      <w:r>
        <w:rPr>
          <w:rStyle w:val="NormalTok"/>
        </w:rPr>
        <w:t xml:space="preserve">}),</w:t>
      </w:r>
      <w:r>
        <w:br/>
      </w:r>
      <w:r>
        <w:rPr>
          <w:rStyle w:val="NormalTok"/>
        </w:rPr>
        <w:t xml:space="preserve">    </w:t>
      </w:r>
      <w:r>
        <w:rPr>
          <w:rStyle w:val="StringTok"/>
        </w:rPr>
        <w:t xml:space="preserve">"basis"</w:t>
      </w:r>
      <w:r>
        <w:rPr>
          <w:rStyle w:val="NormalTok"/>
        </w:rPr>
        <w:t xml:space="preserve">: </w:t>
      </w:r>
      <w:r>
        <w:rPr>
          <w:rStyle w:val="StringTok"/>
        </w:rPr>
        <w:t xml:space="preserve">"paper_informed"</w:t>
      </w:r>
      <w:r>
        <w:rPr>
          <w:rStyle w:val="NormalTok"/>
        </w:rPr>
        <w:t xml:space="preserve"> </w:t>
      </w:r>
      <w:r>
        <w:rPr>
          <w:rStyle w:val="ControlFlowTok"/>
        </w:rPr>
        <w:t xml:space="preserve">if</w:t>
      </w:r>
      <w:r>
        <w:rPr>
          <w:rStyle w:val="NormalTok"/>
        </w:rPr>
        <w:t xml:space="preserve"> valid_aliases</w:t>
      </w:r>
      <w:r>
        <w:br/>
      </w:r>
      <w:r>
        <w:rPr>
          <w:rStyle w:val="NormalTok"/>
        </w:rPr>
        <w:t xml:space="preserve">             </w:t>
      </w:r>
      <w:r>
        <w:rPr>
          <w:rStyle w:val="ControlFlowTok"/>
        </w:rPr>
        <w:t xml:space="preserve">else</w:t>
      </w:r>
      <w:r>
        <w:rPr>
          <w:rStyle w:val="NormalTok"/>
        </w:rPr>
        <w:t xml:space="preserve"> </w:t>
      </w:r>
      <w:r>
        <w:rPr>
          <w:rStyle w:val="StringTok"/>
        </w:rPr>
        <w:t xml:space="preserve">"general_suggestion"</w:t>
      </w:r>
      <w:r>
        <w:rPr>
          <w:rStyle w:val="NormalTok"/>
        </w:rPr>
        <w:t xml:space="preserve">,</w:t>
      </w:r>
      <w:r>
        <w:br/>
      </w:r>
      <w:r>
        <w:rPr>
          <w:rStyle w:val="NormalTok"/>
        </w:rPr>
        <w:t xml:space="preserve">    </w:t>
      </w:r>
      <w:r>
        <w:rPr>
          <w:rStyle w:val="StringTok"/>
        </w:rPr>
        <w:t xml:space="preserve">"source_chunk_ids"</w:t>
      </w:r>
      <w:r>
        <w:rPr>
          <w:rStyle w:val="NormalTok"/>
        </w:rPr>
        <w:t xml:space="preserve">: [alias_to_result[a][</w:t>
      </w:r>
      <w:r>
        <w:rPr>
          <w:rStyle w:val="StringTok"/>
        </w:rPr>
        <w:t xml:space="preserve">"chunk_id"</w:t>
      </w:r>
      <w:r>
        <w:rPr>
          <w:rStyle w:val="NormalTok"/>
        </w:rPr>
        <w:t xml:space="preserve">]</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valid_aliases],</w:t>
      </w:r>
      <w:r>
        <w:br/>
      </w:r>
      <w:r>
        <w:rPr>
          <w:rStyle w:val="NormalTok"/>
        </w:rPr>
        <w:t xml:space="preserve">}</w:t>
      </w:r>
    </w:p>
    <w:p>
      <w:pPr>
        <w:pStyle w:val="FirstParagraph"/>
      </w:pPr>
      <w:r>
        <w:rPr>
          <w:bCs/>
          <w:b/>
        </w:rPr>
        <w:t xml:space="preserve">Contract.</w:t>
      </w:r>
      <w:r>
        <w:t xml:space="preserve"> </w:t>
      </w:r>
      <w:r>
        <w:rPr>
          <w:bCs/>
          <w:b/>
        </w:rPr>
        <w:t xml:space="preserve">Path:</w:t>
      </w:r>
      <w:r>
        <w:t xml:space="preserve"> </w:t>
      </w:r>
      <w:r>
        <w:rPr>
          <w:rStyle w:val="VerbatimChar"/>
        </w:rPr>
        <w:t xml:space="preserve">backend/app/intelligence/idea_generator.py</w:t>
      </w:r>
      <w:r>
        <w:t xml:space="preserve">.</w:t>
      </w:r>
      <w:r>
        <w:t xml:space="preserve"> </w:t>
      </w:r>
      <w:r>
        <w:rPr>
          <w:bCs/>
          <w:b/>
        </w:rPr>
        <w:t xml:space="preserve">Rationale:</w:t>
      </w:r>
      <w:r>
        <w:t xml:space="preserve"> </w:t>
      </w:r>
      <w:r>
        <w:t xml:space="preserve">ensure conversational ideas cannot turn an invented label into evidence.</w:t>
      </w:r>
      <w:r>
        <w:t xml:space="preserve"> </w:t>
      </w:r>
      <w:r>
        <w:rPr>
          <w:bCs/>
          <w:b/>
        </w:rPr>
        <w:t xml:space="preserve">Input/output:</w:t>
      </w:r>
      <w:r>
        <w:t xml:space="preserve"> </w:t>
      </w:r>
      <w:r>
        <w:t xml:space="preserve">bounded conversation plus an approved retrieval scope becomes one to three typed ideas, citations, warnings, and runtime provenance.</w:t>
      </w:r>
      <w:r>
        <w:t xml:space="preserve"> </w:t>
      </w:r>
      <w:r>
        <w:rPr>
          <w:bCs/>
          <w:b/>
        </w:rPr>
        <w:t xml:space="preserve">Failure:</w:t>
      </w:r>
      <w:r>
        <w:t xml:space="preserve"> </w:t>
      </w:r>
      <w:r>
        <w:t xml:space="preserve">unmatched output remains a general suggestion; invalid aliases are replaced and warned; provider/schema failures are explicit.</w:t>
      </w:r>
      <w:r>
        <w:t xml:space="preserve"> </w:t>
      </w:r>
      <w:r>
        <w:rPr>
          <w:bCs/>
          <w:b/>
        </w:rPr>
        <w:t xml:space="preserve">Trace:</w:t>
      </w:r>
      <w:r>
        <w:t xml:space="preserve"> </w:t>
      </w:r>
      <w:r>
        <w:t xml:space="preserve">RQ4/RQ7 and UI-03/UI-09.</w:t>
      </w:r>
    </w:p>
    <w:p>
      <w:pPr>
        <w:pStyle w:val="SourceCode"/>
      </w:pP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br/>
      </w:r>
      <w:r>
        <w:rPr>
          <w:rStyle w:val="NormalTok"/>
        </w:rPr>
        <w:t xml:space="preserve">    raw, metadata, warnings </w:t>
      </w:r>
      <w:r>
        <w:rPr>
          <w:rStyle w:val="OperatorTok"/>
        </w:rPr>
        <w:t xml:space="preserve">=</w:t>
      </w:r>
      <w:r>
        <w:rPr>
          <w:rStyle w:val="NormalTok"/>
        </w:rPr>
        <w:t xml:space="preserve"> call_strict_ollama(</w:t>
      </w:r>
      <w:r>
        <w:br/>
      </w:r>
      <w:r>
        <w:rPr>
          <w:rStyle w:val="NormalTok"/>
        </w:rPr>
        <w:t xml:space="preserve">        provider, repair_prompt </w:t>
      </w:r>
      <w:r>
        <w:rPr>
          <w:rStyle w:val="ControlFlowTok"/>
        </w:rPr>
        <w:t xml:space="preserve">if</w:t>
      </w:r>
      <w:r>
        <w:rPr>
          <w:rStyle w:val="NormalTok"/>
        </w:rPr>
        <w:t xml:space="preserve"> attempt </w:t>
      </w:r>
      <w:r>
        <w:rPr>
          <w:rStyle w:val="ControlFlowTok"/>
        </w:rPr>
        <w:t xml:space="preserve">else</w:t>
      </w:r>
      <w:r>
        <w:rPr>
          <w:rStyle w:val="NormalTok"/>
        </w:rPr>
        <w:t xml:space="preserve"> prompt, schema)</w:t>
      </w:r>
      <w:r>
        <w:br/>
      </w:r>
      <w:r>
        <w:rPr>
          <w:rStyle w:val="NormalTok"/>
        </w:rPr>
        <w:t xml:space="preserve">    </w:t>
      </w:r>
      <w:r>
        <w:rPr>
          <w:rStyle w:val="ControlFlowTok"/>
        </w:rPr>
        <w:t xml:space="preserve">try</w:t>
      </w:r>
      <w:r>
        <w:rPr>
          <w:rStyle w:val="NormalTok"/>
        </w:rPr>
        <w:t xml:space="preserve">:</w:t>
      </w:r>
      <w:r>
        <w:br/>
      </w:r>
      <w:r>
        <w:rPr>
          <w:rStyle w:val="NormalTok"/>
        </w:rPr>
        <w:t xml:space="preserve">        output </w:t>
      </w:r>
      <w:r>
        <w:rPr>
          <w:rStyle w:val="OperatorTok"/>
        </w:rPr>
        <w:t xml:space="preserve">=</w:t>
      </w:r>
      <w:r>
        <w:rPr>
          <w:rStyle w:val="NormalTok"/>
        </w:rPr>
        <w:t xml:space="preserve"> IdeaModelOutput.model_validate_json(raw)</w:t>
      </w:r>
      <w:r>
        <w:br/>
      </w:r>
      <w:r>
        <w:rPr>
          <w:rStyle w:val="NormalTok"/>
        </w:rPr>
        <w:t xml:space="preserve">        metadata[</w:t>
      </w:r>
      <w:r>
        <w:rPr>
          <w:rStyle w:val="StringTok"/>
        </w:rPr>
        <w:t xml:space="preserve">"structured_output_repair_attempted"</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(attempt)</w:t>
      </w:r>
      <w:r>
        <w:br/>
      </w:r>
      <w:r>
        <w:rPr>
          <w:rStyle w:val="NormalTok"/>
        </w:rPr>
        <w:t xml:space="preserve">        </w:t>
      </w:r>
      <w:r>
        <w:rPr>
          <w:rStyle w:val="ControlFlowTok"/>
        </w:rPr>
        <w:t xml:space="preserve">return</w:t>
      </w:r>
      <w:r>
        <w:rPr>
          <w:rStyle w:val="NormalTok"/>
        </w:rPr>
        <w:t xml:space="preserve"> output, metadata, warnings</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continue</w:t>
      </w:r>
      <w:r>
        <w:br/>
      </w:r>
      <w:r>
        <w:rPr>
          <w:rStyle w:val="ControlFlowTok"/>
        </w:rPr>
        <w:t xml:space="preserve">raise</w:t>
      </w:r>
      <w:r>
        <w:rPr>
          <w:rStyle w:val="NormalTok"/>
        </w:rPr>
        <w:t xml:space="preserve"> IdeaGenerationFailure(</w:t>
      </w:r>
      <w:r>
        <w:rPr>
          <w:rStyle w:val="StringTok"/>
        </w:rPr>
        <w:t xml:space="preserve">"ollama_invalid_output"</w:t>
      </w:r>
      <w:r>
        <w:rPr>
          <w:rStyle w:val="NormalTok"/>
        </w:rPr>
        <w:t xml:space="preserve">,</w:t>
      </w:r>
      <w:r>
        <w:br/>
      </w:r>
      <w:r>
        <w:rPr>
          <w:rStyle w:val="NormalTok"/>
        </w:rPr>
        <w:t xml:space="preserve">                            </w:t>
      </w:r>
      <w:r>
        <w:rPr>
          <w:rStyle w:val="StringTok"/>
        </w:rPr>
        <w:t xml:space="preserve">"invalid idea format twice"</w:t>
      </w:r>
      <w:r>
        <w:rPr>
          <w:rStyle w:val="NormalTok"/>
        </w:rPr>
        <w:t xml:space="preserve">,</w:t>
      </w:r>
      <w:r>
        <w:br/>
      </w:r>
      <w:r>
        <w:rPr>
          <w:rStyle w:val="NormalTok"/>
        </w:rPr>
        <w:t xml:space="preserve">                            status_code</w:t>
      </w:r>
      <w:r>
        <w:rPr>
          <w:rStyle w:val="OperatorTok"/>
        </w:rPr>
        <w:t xml:space="preserve">=</w:t>
      </w:r>
      <w:r>
        <w:rPr>
          <w:rStyle w:val="DecValTok"/>
        </w:rPr>
        <w:t xml:space="preserve">502</w:t>
      </w:r>
      <w:r>
        <w:rPr>
          <w:rStyle w:val="NormalTok"/>
        </w:rPr>
        <w:t xml:space="preserve">)</w:t>
      </w:r>
      <w:r>
        <w:br/>
      </w:r>
      <w:r>
        <w:br/>
      </w:r>
      <w:r>
        <w:rPr>
          <w:rStyle w:val="NormalTok"/>
        </w:rPr>
        <w:t xml:space="preserve">preflight_digest </w:t>
      </w:r>
      <w:r>
        <w:rPr>
          <w:rStyle w:val="OperatorTok"/>
        </w:rPr>
        <w:t xml:space="preserve">=</w:t>
      </w:r>
      <w:r>
        <w:rPr>
          <w:rStyle w:val="NormalTok"/>
        </w:rPr>
        <w:t xml:space="preserve"> verify_ollama_model_digest(</w:t>
      </w:r>
      <w:r>
        <w:br/>
      </w:r>
      <w:r>
        <w:rPr>
          <w:rStyle w:val="NormalTok"/>
        </w:rPr>
        <w:t xml:space="preserve">    provider.base_url, provider.model, provider.expected_digest)</w:t>
      </w:r>
      <w:r>
        <w:br/>
      </w:r>
      <w:r>
        <w:rPr>
          <w:rStyle w:val="NormalTok"/>
        </w:rPr>
        <w:t xml:space="preserve">response </w:t>
      </w:r>
      <w:r>
        <w:rPr>
          <w:rStyle w:val="OperatorTok"/>
        </w:rPr>
        <w:t xml:space="preserve">=</w:t>
      </w:r>
      <w:r>
        <w:rPr>
          <w:rStyle w:val="NormalTok"/>
        </w:rPr>
        <w:t xml:space="preserve"> httpx.post(</w:t>
      </w:r>
      <w:r>
        <w:rPr>
          <w:rStyle w:val="SpecialStringTok"/>
        </w:rPr>
        <w:t xml:space="preserve">f"</w:t>
      </w:r>
      <w:r>
        <w:rPr>
          <w:rStyle w:val="SpecialCharTok"/>
        </w:rPr>
        <w:t xml:space="preserve">{</w:t>
      </w:r>
      <w:r>
        <w:rPr>
          <w:rStyle w:val="NormalTok"/>
        </w:rPr>
        <w:t xml:space="preserve">provider</w:t>
      </w:r>
      <w:r>
        <w:rPr>
          <w:rStyle w:val="SpecialCharTok"/>
        </w:rPr>
        <w:t xml:space="preserve">.</w:t>
      </w:r>
      <w:r>
        <w:rPr>
          <w:rStyle w:val="NormalTok"/>
        </w:rPr>
        <w:t xml:space="preserve">base_url</w:t>
      </w:r>
      <w:r>
        <w:rPr>
          <w:rStyle w:val="SpecialCharTok"/>
        </w:rPr>
        <w:t xml:space="preserve">}</w:t>
      </w:r>
      <w:r>
        <w:rPr>
          <w:rStyle w:val="SpecialStringTok"/>
        </w:rPr>
        <w:t xml:space="preserve">/api/generate"</w:t>
      </w:r>
      <w:r>
        <w:rPr>
          <w:rStyle w:val="NormalTok"/>
        </w:rPr>
        <w:t xml:space="preserve">,</w:t>
      </w:r>
      <w:r>
        <w:br/>
      </w:r>
      <w:r>
        <w:rPr>
          <w:rStyle w:val="NormalTok"/>
        </w:rPr>
        <w:t xml:space="preserve">                      json</w:t>
      </w:r>
      <w:r>
        <w:rPr>
          <w:rStyle w:val="OperatorTok"/>
        </w:rPr>
        <w:t xml:space="preserve">=</w:t>
      </w:r>
      <w:r>
        <w:rPr>
          <w:rStyle w:val="NormalTok"/>
        </w:rPr>
        <w:t xml:space="preserve">payload, timeout</w:t>
      </w:r>
      <w:r>
        <w:rPr>
          <w:rStyle w:val="OperatorTok"/>
        </w:rPr>
        <w:t xml:space="preserve">=</w:t>
      </w:r>
      <w:r>
        <w:rPr>
          <w:rStyle w:val="NormalTok"/>
        </w:rPr>
        <w:t xml:space="preserve">provider.timeout)</w:t>
      </w:r>
      <w:r>
        <w:br/>
      </w:r>
      <w:r>
        <w:rPr>
          <w:rStyle w:val="NormalTok"/>
        </w:rPr>
        <w:t xml:space="preserve">identity </w:t>
      </w:r>
      <w:r>
        <w:rPr>
          <w:rStyle w:val="OperatorTok"/>
        </w:rPr>
        <w:t xml:space="preserve">=</w:t>
      </w:r>
      <w:r>
        <w:rPr>
          <w:rStyle w:val="NormalTok"/>
        </w:rPr>
        <w:t xml:space="preserve"> verify_ollama_generation_identity(</w:t>
      </w:r>
      <w:r>
        <w:br/>
      </w:r>
      <w:r>
        <w:rPr>
          <w:rStyle w:val="NormalTok"/>
        </w:rPr>
        <w:t xml:space="preserve">    response.json(), configured_model</w:t>
      </w:r>
      <w:r>
        <w:rPr>
          <w:rStyle w:val="OperatorTok"/>
        </w:rPr>
        <w:t xml:space="preserve">=</w:t>
      </w:r>
      <w:r>
        <w:rPr>
          <w:rStyle w:val="NormalTok"/>
        </w:rPr>
        <w:t xml:space="preserve">provider.model,</w:t>
      </w:r>
      <w:r>
        <w:br/>
      </w:r>
      <w:r>
        <w:rPr>
          <w:rStyle w:val="NormalTok"/>
        </w:rPr>
        <w:t xml:space="preserve">    expected_digest</w:t>
      </w:r>
      <w:r>
        <w:rPr>
          <w:rStyle w:val="OperatorTok"/>
        </w:rPr>
        <w:t xml:space="preserve">=</w:t>
      </w:r>
      <w:r>
        <w:rPr>
          <w:rStyle w:val="NormalTok"/>
        </w:rPr>
        <w:t xml:space="preserve">preflight_digest)</w:t>
      </w:r>
      <w:r>
        <w:br/>
      </w:r>
      <w:r>
        <w:rPr>
          <w:rStyle w:val="NormalTok"/>
        </w:rPr>
        <w:t xml:space="preserve">postflight_digest </w:t>
      </w:r>
      <w:r>
        <w:rPr>
          <w:rStyle w:val="OperatorTok"/>
        </w:rPr>
        <w:t xml:space="preserve">=</w:t>
      </w:r>
      <w:r>
        <w:rPr>
          <w:rStyle w:val="NormalTok"/>
        </w:rPr>
        <w:t xml:space="preserve"> verify_ollama_model_digest(</w:t>
      </w:r>
      <w:r>
        <w:br/>
      </w:r>
      <w:r>
        <w:rPr>
          <w:rStyle w:val="NormalTok"/>
        </w:rPr>
        <w:t xml:space="preserve">    provider.base_url, provider.model, provider.expected_digest)</w:t>
      </w:r>
      <w:r>
        <w:br/>
      </w:r>
      <w:r>
        <w:rPr>
          <w:rStyle w:val="ControlFlowTok"/>
        </w:rPr>
        <w:t xml:space="preserve">if</w:t>
      </w:r>
      <w:r>
        <w:rPr>
          <w:rStyle w:val="NormalTok"/>
        </w:rPr>
        <w:t xml:space="preserve"> postflight_digest </w:t>
      </w:r>
      <w:r>
        <w:rPr>
          <w:rStyle w:val="OperatorTok"/>
        </w:rPr>
        <w:t xml:space="preserve">!=</w:t>
      </w:r>
      <w:r>
        <w:rPr>
          <w:rStyle w:val="NormalTok"/>
        </w:rPr>
        <w:t xml:space="preserve"> preflight_digest: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"model identity changed during generation"</w:t>
      </w:r>
      <w:r>
        <w:rPr>
          <w:rStyle w:val="NormalTok"/>
        </w:rPr>
        <w:t xml:space="preserve">)</w:t>
      </w:r>
    </w:p>
    <w:p>
      <w:pPr>
        <w:pStyle w:val="FirstParagraph"/>
      </w:pPr>
      <w:r>
        <w:rPr>
          <w:bCs/>
          <w:b/>
        </w:rPr>
        <w:t xml:space="preserve">Contract.</w:t>
      </w:r>
      <w:r>
        <w:t xml:space="preserve"> </w:t>
      </w:r>
      <w:r>
        <w:rPr>
          <w:bCs/>
          <w:b/>
        </w:rPr>
        <w:t xml:space="preserve">Path:</w:t>
      </w:r>
      <w:r>
        <w:t xml:space="preserve"> </w:t>
      </w:r>
      <w:r>
        <w:rPr>
          <w:rStyle w:val="VerbatimChar"/>
        </w:rPr>
        <w:t xml:space="preserve">backend/app/intelligence/idea_generator.py</w:t>
      </w:r>
      <w:r>
        <w:t xml:space="preserve">.</w:t>
      </w:r>
      <w:r>
        <w:t xml:space="preserve"> </w:t>
      </w:r>
      <w:r>
        <w:rPr>
          <w:bCs/>
          <w:b/>
        </w:rPr>
        <w:t xml:space="preserve">Rationale:</w:t>
      </w:r>
      <w:r>
        <w:t xml:space="preserve"> </w:t>
      </w:r>
      <w:r>
        <w:t xml:space="preserve">bind generated structures to an observed approved local model and a typed response.</w:t>
      </w:r>
      <w:r>
        <w:t xml:space="preserve"> </w:t>
      </w:r>
      <w:r>
        <w:rPr>
          <w:bCs/>
          <w:b/>
        </w:rPr>
        <w:t xml:space="preserve">Input/output:</w:t>
      </w:r>
      <w:r>
        <w:t xml:space="preserve"> </w:t>
      </w:r>
      <w:r>
        <w:t xml:space="preserve">prompt, JSON schema, and model policy yield validated output plus digest/provenance metadata.</w:t>
      </w:r>
      <w:r>
        <w:t xml:space="preserve"> </w:t>
      </w:r>
      <w:r>
        <w:rPr>
          <w:bCs/>
          <w:b/>
        </w:rPr>
        <w:t xml:space="preserve">Failure:</w:t>
      </w:r>
      <w:r>
        <w:t xml:space="preserve"> </w:t>
      </w:r>
      <w:r>
        <w:t xml:space="preserve">unavailable or drifting identity returns a retryable unavailable state; two malformed responses return a retryable bad-gateway state. A stable tag without response-reported digest remains explicitly not fully attested.</w:t>
      </w:r>
      <w:r>
        <w:t xml:space="preserve"> </w:t>
      </w:r>
      <w:r>
        <w:rPr>
          <w:bCs/>
          <w:b/>
        </w:rPr>
        <w:t xml:space="preserve">Trace:</w:t>
      </w:r>
      <w:r>
        <w:t xml:space="preserve"> </w:t>
      </w:r>
      <w:r>
        <w:t xml:space="preserve">RQ6/RQ7 and the provider-integrity requirement.</w:t>
      </w:r>
    </w:p>
    <w:p>
      <w:pPr>
        <w:pStyle w:val="SourceCode"/>
      </w:pPr>
      <w:r>
        <w:rPr>
          <w:rStyle w:val="NormalTok"/>
        </w:rPr>
        <w:t xml:space="preserve">preview </w:t>
      </w:r>
      <w:r>
        <w:rPr>
          <w:rStyle w:val="OperatorTok"/>
        </w:rPr>
        <w:t xml:space="preserve">=</w:t>
      </w:r>
      <w:r>
        <w:rPr>
          <w:rStyle w:val="NormalTok"/>
        </w:rPr>
        <w:t xml:space="preserve"> bulk_candidates(session, payload.item_types,</w:t>
      </w:r>
      <w:r>
        <w:br/>
      </w:r>
      <w:r>
        <w:rPr>
          <w:rStyle w:val="NormalTok"/>
        </w:rPr>
        <w:t xml:space="preserve">                          approval_mode</w:t>
      </w:r>
      <w:r>
        <w:rPr>
          <w:rStyle w:val="OperatorTok"/>
        </w:rPr>
        <w:t xml:space="preserve">=</w:t>
      </w:r>
      <w:r>
        <w:rPr>
          <w:rStyle w:val="NormalTok"/>
        </w:rPr>
        <w:t xml:space="preserve">payload.approval_mode)</w:t>
      </w:r>
      <w:r>
        <w:br/>
      </w:r>
      <w:r>
        <w:rPr>
          <w:rStyle w:val="NormalTok"/>
        </w:rPr>
        <w:t xml:space="preserve">operation </w:t>
      </w:r>
      <w:r>
        <w:rPr>
          <w:rStyle w:val="OperatorTok"/>
        </w:rPr>
        <w:t xml:space="preserve">=</w:t>
      </w:r>
      <w:r>
        <w:rPr>
          <w:rStyle w:val="NormalTok"/>
        </w:rPr>
        <w:t xml:space="preserve"> BulkOperation(</w:t>
      </w:r>
      <w:r>
        <w:br/>
      </w:r>
      <w:r>
        <w:rPr>
          <w:rStyle w:val="NormalTok"/>
        </w:rPr>
        <w:t xml:space="preserve">    operation_id</w:t>
      </w:r>
      <w:r>
        <w:rPr>
          <w:rStyle w:val="OperatorTok"/>
        </w:rPr>
        <w:t xml:space="preserve">=</w:t>
      </w:r>
      <w:r>
        <w:rPr>
          <w:rStyle w:val="BuiltInTok"/>
        </w:rPr>
        <w:t xml:space="preserve">str</w:t>
      </w:r>
      <w:r>
        <w:rPr>
          <w:rStyle w:val="NormalTok"/>
        </w:rPr>
        <w:t xml:space="preserve">(uuid4()),</w:t>
      </w:r>
      <w:r>
        <w:br/>
      </w:r>
      <w:r>
        <w:rPr>
          <w:rStyle w:val="NormalTok"/>
        </w:rPr>
        <w:t xml:space="preserve">    preview_hash</w:t>
      </w:r>
      <w:r>
        <w:rPr>
          <w:rStyle w:val="OperatorTok"/>
        </w:rPr>
        <w:t xml:space="preserve">=</w:t>
      </w:r>
      <w:r>
        <w:rPr>
          <w:rStyle w:val="NormalTok"/>
        </w:rPr>
        <w:t xml:space="preserve">preview[</w:t>
      </w:r>
      <w:r>
        <w:rPr>
          <w:rStyle w:val="StringTok"/>
        </w:rPr>
        <w:t xml:space="preserve">"preview_hash"</w:t>
      </w:r>
      <w:r>
        <w:rPr>
          <w:rStyle w:val="NormalTok"/>
        </w:rPr>
        <w:t xml:space="preserve">],</w:t>
      </w:r>
      <w:r>
        <w:br/>
      </w:r>
      <w:r>
        <w:rPr>
          <w:rStyle w:val="NormalTok"/>
        </w:rPr>
        <w:t xml:space="preserve">    request_json</w:t>
      </w:r>
      <w:r>
        <w:rPr>
          <w:rStyle w:val="OperatorTok"/>
        </w:rPr>
        <w:t xml:space="preserve">=</w:t>
      </w:r>
      <w:r>
        <w:rPr>
          <w:rStyle w:val="NormalTok"/>
        </w:rPr>
        <w:t xml:space="preserve">payload.model_dump(),</w:t>
      </w:r>
      <w:r>
        <w:br/>
      </w:r>
      <w:r>
        <w:rPr>
          <w:rStyle w:val="NormalTok"/>
        </w:rPr>
        <w:t xml:space="preserve">    requested_by</w:t>
      </w:r>
      <w:r>
        <w:rPr>
          <w:rStyle w:val="OperatorTok"/>
        </w:rPr>
        <w:t xml:space="preserve">=</w:t>
      </w:r>
      <w:r>
        <w:rPr>
          <w:rStyle w:val="NormalTok"/>
        </w:rPr>
        <w:t xml:space="preserve">actor.actor_id,</w:t>
      </w:r>
      <w:r>
        <w:br/>
      </w:r>
      <w:r>
        <w:rPr>
          <w:rStyle w:val="NormalTok"/>
        </w:rPr>
        <w:t xml:space="preserve">    expires_at</w:t>
      </w:r>
      <w:r>
        <w:rPr>
          <w:rStyle w:val="OperatorTok"/>
        </w:rPr>
        <w:t xml:space="preserve">=</w:t>
      </w:r>
      <w:r>
        <w:rPr>
          <w:rStyle w:val="NormalTok"/>
        </w:rPr>
        <w:t xml:space="preserve">now() </w:t>
      </w:r>
      <w:r>
        <w:rPr>
          <w:rStyle w:val="OperatorTok"/>
        </w:rPr>
        <w:t xml:space="preserve">+</w:t>
      </w:r>
      <w:r>
        <w:rPr>
          <w:rStyle w:val="NormalTok"/>
        </w:rPr>
        <w:t xml:space="preserve"> timedelta(minutes</w:t>
      </w:r>
      <w:r>
        <w:rPr>
          <w:rStyle w:val="OperatorTok"/>
        </w:rPr>
        <w:t xml:space="preserve">=</w:t>
      </w:r>
      <w:r>
        <w:rPr>
          <w:rStyle w:val="DecValTok"/>
        </w:rPr>
        <w:t xml:space="preserve">10</w:t>
      </w:r>
      <w:r>
        <w:rPr>
          <w:rStyle w:val="NormalTok"/>
        </w:rPr>
        <w:t xml:space="preserve">))</w:t>
      </w:r>
      <w:r>
        <w:br/>
      </w:r>
      <w:r>
        <w:rPr>
          <w:rStyle w:val="NormalTok"/>
        </w:rPr>
        <w:t xml:space="preserve">session.add(operation)</w:t>
      </w:r>
      <w:r>
        <w:br/>
      </w:r>
      <w:r>
        <w:rPr>
          <w:rStyle w:val="NormalTok"/>
        </w:rPr>
        <w:t xml:space="preserve">session.commit()</w:t>
      </w:r>
      <w:r>
        <w:br/>
      </w:r>
      <w:r>
        <w:br/>
      </w:r>
      <w:r>
        <w:rPr>
          <w:rStyle w:val="NormalTok"/>
        </w:rPr>
        <w:t xml:space="preserve">operation </w:t>
      </w:r>
      <w:r>
        <w:rPr>
          <w:rStyle w:val="OperatorTok"/>
        </w:rPr>
        <w:t xml:space="preserve">=</w:t>
      </w:r>
      <w:r>
        <w:rPr>
          <w:rStyle w:val="NormalTok"/>
        </w:rPr>
        <w:t xml:space="preserve"> session.get(BulkOperation, payload.operation_id)</w:t>
      </w:r>
      <w:r>
        <w:br/>
      </w:r>
      <w:r>
        <w:rPr>
          <w:rStyle w:val="NormalTok"/>
        </w:rPr>
        <w:t xml:space="preserve">fresh </w:t>
      </w:r>
      <w:r>
        <w:rPr>
          <w:rStyle w:val="OperatorTok"/>
        </w:rPr>
        <w:t xml:space="preserve">=</w:t>
      </w:r>
      <w:r>
        <w:rPr>
          <w:rStyle w:val="NormalTok"/>
        </w:rPr>
        <w:t xml:space="preserve"> bulk_candidates(session,</w:t>
      </w:r>
      <w:r>
        <w:br/>
      </w:r>
      <w:r>
        <w:rPr>
          <w:rStyle w:val="NormalTok"/>
        </w:rPr>
        <w:t xml:space="preserve">                        operation.request_json[</w:t>
      </w:r>
      <w:r>
        <w:rPr>
          <w:rStyle w:val="StringTok"/>
        </w:rPr>
        <w:t xml:space="preserve">"item_types"</w:t>
      </w:r>
      <w:r>
        <w:rPr>
          <w:rStyle w:val="NormalTok"/>
        </w:rPr>
        <w:t xml:space="preserve">])</w:t>
      </w:r>
      <w:r>
        <w:br/>
      </w:r>
      <w:r>
        <w:rPr>
          <w:rStyle w:val="ControlFlowTok"/>
        </w:rPr>
        <w:t xml:space="preserve">if</w:t>
      </w:r>
      <w:r>
        <w:rPr>
          <w:rStyle w:val="NormalTok"/>
        </w:rPr>
        <w:t xml:space="preserve"> (operation.requested_by </w:t>
      </w:r>
      <w:r>
        <w:rPr>
          <w:rStyle w:val="OperatorTok"/>
        </w:rPr>
        <w:t xml:space="preserve">!=</w:t>
      </w:r>
      <w:r>
        <w:rPr>
          <w:rStyle w:val="NormalTok"/>
        </w:rPr>
        <w:t xml:space="preserve"> actor.actor_id</w:t>
      </w:r>
      <w:r>
        <w:br/>
      </w:r>
      <w:r>
        <w:rPr>
          <w:rStyle w:val="NormalTok"/>
        </w:rPr>
        <w:t xml:space="preserve">        </w:t>
      </w:r>
      <w:r>
        <w:rPr>
          <w:rStyle w:val="KeywordTok"/>
        </w:rPr>
        <w:t xml:space="preserve">or</w:t>
      </w:r>
      <w:r>
        <w:rPr>
          <w:rStyle w:val="NormalTok"/>
        </w:rPr>
        <w:t xml:space="preserve"> operation.expires_at </w:t>
      </w:r>
      <w:r>
        <w:rPr>
          <w:rStyle w:val="OperatorTok"/>
        </w:rPr>
        <w:t xml:space="preserve">&lt;=</w:t>
      </w:r>
      <w:r>
        <w:rPr>
          <w:rStyle w:val="NormalTok"/>
        </w:rPr>
        <w:t xml:space="preserve"> now()</w:t>
      </w:r>
      <w:r>
        <w:br/>
      </w:r>
      <w:r>
        <w:rPr>
          <w:rStyle w:val="NormalTok"/>
        </w:rPr>
        <w:t xml:space="preserve">        </w:t>
      </w:r>
      <w:r>
        <w:rPr>
          <w:rStyle w:val="KeywordTok"/>
        </w:rPr>
        <w:t xml:space="preserve">or</w:t>
      </w:r>
      <w:r>
        <w:rPr>
          <w:rStyle w:val="NormalTok"/>
        </w:rPr>
        <w:t xml:space="preserve"> payload.preview_hash </w:t>
      </w:r>
      <w:r>
        <w:rPr>
          <w:rStyle w:val="OperatorTok"/>
        </w:rPr>
        <w:t xml:space="preserve">!=</w:t>
      </w:r>
      <w:r>
        <w:rPr>
          <w:rStyle w:val="NormalTok"/>
        </w:rPr>
        <w:t xml:space="preserve"> operation.preview_hash</w:t>
      </w:r>
      <w:r>
        <w:br/>
      </w:r>
      <w:r>
        <w:rPr>
          <w:rStyle w:val="NormalTok"/>
        </w:rPr>
        <w:t xml:space="preserve">        </w:t>
      </w:r>
      <w:r>
        <w:rPr>
          <w:rStyle w:val="KeywordTok"/>
        </w:rPr>
        <w:t xml:space="preserve">or</w:t>
      </w:r>
      <w:r>
        <w:rPr>
          <w:rStyle w:val="NormalTok"/>
        </w:rPr>
        <w:t xml:space="preserve"> fresh[</w:t>
      </w:r>
      <w:r>
        <w:rPr>
          <w:rStyle w:val="StringTok"/>
        </w:rPr>
        <w:t xml:space="preserve">"preview_hash"</w:t>
      </w:r>
      <w:r>
        <w:rPr>
          <w:rStyle w:val="NormalTok"/>
        </w:rPr>
        <w:t xml:space="preserve">] </w:t>
      </w:r>
      <w:r>
        <w:rPr>
          <w:rStyle w:val="OperatorTok"/>
        </w:rPr>
        <w:t xml:space="preserve">!=</w:t>
      </w:r>
      <w:r>
        <w:rPr>
          <w:rStyle w:val="NormalTok"/>
        </w:rPr>
        <w:t xml:space="preserve"> operation.preview_hash):</w:t>
      </w:r>
      <w:r>
        <w:br/>
      </w:r>
      <w:r>
        <w:rPr>
          <w:rStyle w:val="NormalTok"/>
        </w:rPr>
        <w:t xml:space="preserve">    </w:t>
      </w:r>
      <w:r>
        <w:rPr>
          <w:rStyle w:val="ControlFlowTok"/>
        </w:rPr>
        <w:t xml:space="preserve">raise</w:t>
      </w:r>
      <w:r>
        <w:rPr>
          <w:rStyle w:val="NormalTok"/>
        </w:rPr>
        <w:t xml:space="preserve"> HTTPException(</w:t>
      </w:r>
      <w:r>
        <w:rPr>
          <w:rStyle w:val="DecValTok"/>
        </w:rPr>
        <w:t xml:space="preserve">409</w:t>
      </w:r>
      <w:r>
        <w:rPr>
          <w:rStyle w:val="NormalTok"/>
        </w:rPr>
        <w:t xml:space="preserve">, </w:t>
      </w:r>
      <w:r>
        <w:rPr>
          <w:rStyle w:val="StringTok"/>
        </w:rPr>
        <w:t xml:space="preserve">"create a fresh preview"</w:t>
      </w:r>
      <w:r>
        <w:rPr>
          <w:rStyle w:val="NormalTok"/>
        </w:rPr>
        <w:t xml:space="preserve">)</w:t>
      </w:r>
      <w:r>
        <w:br/>
      </w:r>
      <w:r>
        <w:br/>
      </w:r>
      <w:r>
        <w:rPr>
          <w:rStyle w:val="NormalTok"/>
        </w:rPr>
        <w:t xml:space="preserve">event </w:t>
      </w:r>
      <w:r>
        <w:rPr>
          <w:rStyle w:val="OperatorTok"/>
        </w:rPr>
        <w:t xml:space="preserve">=</w:t>
      </w:r>
      <w:r>
        <w:rPr>
          <w:rStyle w:val="NormalTok"/>
        </w:rPr>
        <w:t xml:space="preserve"> create_review_event(</w:t>
      </w:r>
      <w:r>
        <w:br/>
      </w:r>
      <w:r>
        <w:rPr>
          <w:rStyle w:val="NormalTok"/>
        </w:rPr>
        <w:t xml:space="preserve">    session, item_type</w:t>
      </w:r>
      <w:r>
        <w:rPr>
          <w:rStyle w:val="OperatorTok"/>
        </w:rPr>
        <w:t xml:space="preserve">=</w:t>
      </w:r>
      <w:r>
        <w:rPr>
          <w:rStyle w:val="NormalTok"/>
        </w:rPr>
        <w:t xml:space="preserve">kind, item_id</w:t>
      </w:r>
      <w:r>
        <w:rPr>
          <w:rStyle w:val="OperatorTok"/>
        </w:rPr>
        <w:t xml:space="preserve">=</w:t>
      </w:r>
      <w:r>
        <w:rPr>
          <w:rStyle w:val="NormalTok"/>
        </w:rPr>
        <w:t xml:space="preserve">item_id,</w:t>
      </w:r>
      <w:r>
        <w:br/>
      </w:r>
      <w:r>
        <w:rPr>
          <w:rStyle w:val="NormalTok"/>
        </w:rPr>
        <w:t xml:space="preserve">    action</w:t>
      </w:r>
      <w:r>
        <w:rPr>
          <w:rStyle w:val="OperatorTok"/>
        </w:rPr>
        <w:t xml:space="preserve">=</w:t>
      </w:r>
      <w:r>
        <w:rPr>
          <w:rStyle w:val="StringTok"/>
        </w:rPr>
        <w:t xml:space="preserve">"bulk_approved"</w:t>
      </w:r>
      <w:r>
        <w:rPr>
          <w:rStyle w:val="NormalTok"/>
        </w:rPr>
        <w:t xml:space="preserve">, previous_status</w:t>
      </w:r>
      <w:r>
        <w:rPr>
          <w:rStyle w:val="OperatorTok"/>
        </w:rPr>
        <w:t xml:space="preserve">=</w:t>
      </w:r>
      <w:r>
        <w:rPr>
          <w:rStyle w:val="NormalTok"/>
        </w:rPr>
        <w:t xml:space="preserve">previous,</w:t>
      </w:r>
      <w:r>
        <w:br/>
      </w:r>
      <w:r>
        <w:rPr>
          <w:rStyle w:val="NormalTok"/>
        </w:rPr>
        <w:t xml:space="preserve">    new_status</w:t>
      </w:r>
      <w:r>
        <w:rPr>
          <w:rStyle w:val="OperatorTok"/>
        </w:rPr>
        <w:t xml:space="preserve">=</w:t>
      </w:r>
      <w:r>
        <w:rPr>
          <w:rStyle w:val="StringTok"/>
        </w:rPr>
        <w:t xml:space="preserve">"approved"</w:t>
      </w:r>
      <w:r>
        <w:rPr>
          <w:rStyle w:val="NormalTok"/>
        </w:rPr>
        <w:t xml:space="preserve">, actor</w:t>
      </w:r>
      <w:r>
        <w:rPr>
          <w:rStyle w:val="OperatorTok"/>
        </w:rPr>
        <w:t xml:space="preserve">=</w:t>
      </w:r>
      <w:r>
        <w:rPr>
          <w:rStyle w:val="NormalTok"/>
        </w:rPr>
        <w:t xml:space="preserve">actor)</w:t>
      </w:r>
      <w:r>
        <w:br/>
      </w:r>
      <w:r>
        <w:rPr>
          <w:rStyle w:val="NormalTok"/>
        </w:rPr>
        <w:t xml:space="preserve">session.add(event)</w:t>
      </w:r>
      <w:r>
        <w:br/>
      </w:r>
      <w:r>
        <w:rPr>
          <w:rStyle w:val="NormalTok"/>
        </w:rPr>
        <w:t xml:space="preserve">session.commit()</w:t>
      </w:r>
    </w:p>
    <w:p>
      <w:pPr>
        <w:pStyle w:val="FirstParagraph"/>
      </w:pPr>
      <w:r>
        <w:rPr>
          <w:bCs/>
          <w:b/>
        </w:rPr>
        <w:t xml:space="preserve">Contract.</w:t>
      </w:r>
      <w:r>
        <w:t xml:space="preserve"> </w:t>
      </w:r>
      <w:r>
        <w:rPr>
          <w:bCs/>
          <w:b/>
        </w:rPr>
        <w:t xml:space="preserve">Path:</w:t>
      </w:r>
      <w:r>
        <w:t xml:space="preserve"> </w:t>
      </w:r>
      <w:r>
        <w:rPr>
          <w:rStyle w:val="VerbatimChar"/>
        </w:rPr>
        <w:t xml:space="preserve">backend/app/api/admin_control.py</w:t>
      </w:r>
      <w:r>
        <w:t xml:space="preserve">.</w:t>
      </w:r>
      <w:r>
        <w:t xml:space="preserve"> </w:t>
      </w:r>
      <w:r>
        <w:rPr>
          <w:bCs/>
          <w:b/>
        </w:rPr>
        <w:t xml:space="preserve">Rationale:</w:t>
      </w:r>
      <w:r>
        <w:t xml:space="preserve"> </w:t>
      </w:r>
      <w:r>
        <w:t xml:space="preserve">prevent an administrator from approving a candidate set that changed after inspection.</w:t>
      </w:r>
      <w:r>
        <w:t xml:space="preserve"> </w:t>
      </w:r>
      <w:r>
        <w:rPr>
          <w:bCs/>
          <w:b/>
        </w:rPr>
        <w:t xml:space="preserve">Input/output:</w:t>
      </w:r>
      <w:r>
        <w:t xml:space="preserve"> </w:t>
      </w:r>
      <w:r>
        <w:t xml:space="preserve">an actor-scoped preview produces a ten-minute operation and deterministic hash; execution recomputes state before applying attributed events.</w:t>
      </w:r>
      <w:r>
        <w:t xml:space="preserve"> </w:t>
      </w:r>
      <w:r>
        <w:rPr>
          <w:bCs/>
          <w:b/>
        </w:rPr>
        <w:t xml:space="preserve">Failure:</w:t>
      </w:r>
      <w:r>
        <w:t xml:space="preserve"> </w:t>
      </w:r>
      <w:r>
        <w:t xml:space="preserve">missing, expired, reused, actor-mismatched, or stale previews return conflict without mutation; catch-all review excludes missing-PDF papers.</w:t>
      </w:r>
      <w:r>
        <w:t xml:space="preserve"> </w:t>
      </w:r>
      <w:r>
        <w:rPr>
          <w:bCs/>
          <w:b/>
        </w:rPr>
        <w:t xml:space="preserve">Trace:</w:t>
      </w:r>
      <w:r>
        <w:t xml:space="preserve"> </w:t>
      </w:r>
      <w:r>
        <w:t xml:space="preserve">RQ5/RQ7 and UI-06–UI-08.</w:t>
      </w:r>
    </w:p>
    <w:p>
      <w:pPr>
        <w:pStyle w:val="SourceCode"/>
      </w:pPr>
      <w:r>
        <w:rPr>
          <w:rStyle w:val="KeywordTok"/>
        </w:rPr>
        <w:t xml:space="preserve">class</w:t>
      </w:r>
      <w:r>
        <w:rPr>
          <w:rStyle w:val="NormalTok"/>
        </w:rPr>
        <w:t xml:space="preserve"> ReviewEvent(SQLModel, table</w:t>
      </w:r>
      <w:r>
        <w:rPr>
          <w:rStyle w:val="OperatorTok"/>
        </w:rPr>
        <w:t xml:space="preserve">=</w:t>
      </w:r>
      <w:r>
        <w:rPr>
          <w:rStyle w:val="VariableTok"/>
        </w:rPr>
        <w:t xml:space="preserve">True</w:t>
      </w:r>
      <w:r>
        <w:rPr>
          <w:rStyle w:val="NormalTok"/>
        </w:rPr>
        <w:t xml:space="preserve">):</w:t>
      </w:r>
      <w:r>
        <w:br/>
      </w:r>
      <w:r>
        <w:rPr>
          <w:rStyle w:val="NormalTok"/>
        </w:rPr>
        <w:t xml:space="preserve">    review_event_id: </w:t>
      </w:r>
      <w:r>
        <w:rPr>
          <w:rStyle w:val="BuiltInTok"/>
        </w:rPr>
        <w:t xml:space="preserve">str</w:t>
      </w:r>
      <w:r>
        <w:rPr>
          <w:rStyle w:val="NormalTok"/>
        </w:rPr>
        <w:t xml:space="preserve"> </w:t>
      </w:r>
      <w:r>
        <w:rPr>
          <w:rStyle w:val="OperatorTok"/>
        </w:rPr>
        <w:t xml:space="preserve">=</w:t>
      </w:r>
      <w:r>
        <w:rPr>
          <w:rStyle w:val="NormalTok"/>
        </w:rPr>
        <w:t xml:space="preserve"> Field(primary_key</w:t>
      </w:r>
      <w:r>
        <w:rPr>
          <w:rStyle w:val="OperatorTok"/>
        </w:rPr>
        <w:t xml:space="preserve">=</w:t>
      </w:r>
      <w:r>
        <w:rPr>
          <w:rStyle w:val="VariableTok"/>
        </w:rPr>
        <w:t xml:space="preserve">True</w:t>
      </w:r>
      <w:r>
        <w:rPr>
          <w:rStyle w:val="NormalTok"/>
        </w:rPr>
        <w:t xml:space="preserve">)</w:t>
      </w:r>
      <w:r>
        <w:br/>
      </w:r>
      <w:r>
        <w:rPr>
          <w:rStyle w:val="NormalTok"/>
        </w:rPr>
        <w:t xml:space="preserve">    item_type: </w:t>
      </w:r>
      <w:r>
        <w:rPr>
          <w:rStyle w:val="BuiltInTok"/>
        </w:rPr>
        <w:t xml:space="preserve">str</w:t>
      </w:r>
      <w:r>
        <w:br/>
      </w:r>
      <w:r>
        <w:rPr>
          <w:rStyle w:val="NormalTok"/>
        </w:rPr>
        <w:t xml:space="preserve">    item_id: </w:t>
      </w:r>
      <w:r>
        <w:rPr>
          <w:rStyle w:val="BuiltInTok"/>
        </w:rPr>
        <w:t xml:space="preserve">str</w:t>
      </w:r>
      <w:r>
        <w:br/>
      </w:r>
      <w:r>
        <w:rPr>
          <w:rStyle w:val="NormalTok"/>
        </w:rPr>
        <w:t xml:space="preserve">    action: </w:t>
      </w:r>
      <w:r>
        <w:rPr>
          <w:rStyle w:val="BuiltInTok"/>
        </w:rPr>
        <w:t xml:space="preserve">str</w:t>
      </w:r>
      <w:r>
        <w:br/>
      </w:r>
      <w:r>
        <w:rPr>
          <w:rStyle w:val="NormalTok"/>
        </w:rPr>
        <w:t xml:space="preserve">    previous_status: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new_status: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reviewer_id: </w:t>
      </w:r>
      <w:r>
        <w:rPr>
          <w:rStyle w:val="BuiltInTok"/>
        </w:rPr>
        <w:t xml:space="preserve">str</w:t>
      </w:r>
      <w:r>
        <w:br/>
      </w:r>
      <w:r>
        <w:rPr>
          <w:rStyle w:val="NormalTok"/>
        </w:rPr>
        <w:t xml:space="preserve">    reviewer_type: </w:t>
      </w:r>
      <w:r>
        <w:rPr>
          <w:rStyle w:val="BuiltInTok"/>
        </w:rPr>
        <w:t xml:space="preserve">str</w:t>
      </w:r>
      <w:r>
        <w:br/>
      </w:r>
      <w:r>
        <w:rPr>
          <w:rStyle w:val="NormalTok"/>
        </w:rPr>
        <w:t xml:space="preserve">    reviewer_role: </w:t>
      </w:r>
      <w:r>
        <w:rPr>
          <w:rStyle w:val="BuiltInTok"/>
        </w:rPr>
        <w:t xml:space="preserve">str</w:t>
      </w:r>
      <w:r>
        <w:br/>
      </w:r>
      <w:r>
        <w:rPr>
          <w:rStyle w:val="NormalTok"/>
        </w:rPr>
        <w:t xml:space="preserve">    request_id: </w:t>
      </w:r>
      <w:r>
        <w:rPr>
          <w:rStyle w:val="BuiltInTok"/>
        </w:rPr>
        <w:t xml:space="preserve">str</w:t>
      </w:r>
      <w:r>
        <w:br/>
      </w:r>
      <w:r>
        <w:rPr>
          <w:rStyle w:val="NormalTok"/>
        </w:rPr>
        <w:t xml:space="preserve">    diff_json: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previous_event_hash: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event_hash: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created_at: datetime</w:t>
      </w:r>
    </w:p>
    <w:p>
      <w:pPr>
        <w:pStyle w:val="FirstParagraph"/>
      </w:pPr>
      <w:r>
        <w:rPr>
          <w:bCs/>
          <w:b/>
        </w:rPr>
        <w:t xml:space="preserve">Contract.</w:t>
      </w:r>
      <w:r>
        <w:t xml:space="preserve"> </w:t>
      </w:r>
      <w:r>
        <w:rPr>
          <w:bCs/>
          <w:b/>
        </w:rPr>
        <w:t xml:space="preserve">Path:</w:t>
      </w:r>
      <w:r>
        <w:t xml:space="preserve"> </w:t>
      </w:r>
      <w:r>
        <w:rPr>
          <w:rStyle w:val="VerbatimChar"/>
        </w:rPr>
        <w:t xml:space="preserve">backend/app/models/review.py</w:t>
      </w:r>
      <w:r>
        <w:t xml:space="preserve">.</w:t>
      </w:r>
      <w:r>
        <w:t xml:space="preserve"> </w:t>
      </w:r>
      <w:r>
        <w:rPr>
          <w:bCs/>
          <w:b/>
        </w:rPr>
        <w:t xml:space="preserve">Rationale:</w:t>
      </w:r>
      <w:r>
        <w:t xml:space="preserve"> </w:t>
      </w:r>
      <w:r>
        <w:t xml:space="preserve">retain actor attribution and correction history.</w:t>
      </w:r>
      <w:r>
        <w:t xml:space="preserve"> </w:t>
      </w:r>
      <w:r>
        <w:rPr>
          <w:bCs/>
          <w:b/>
        </w:rPr>
        <w:t xml:space="preserve">Input/output:</w:t>
      </w:r>
      <w:r>
        <w:t xml:space="preserve"> </w:t>
      </w:r>
      <w:r>
        <w:t xml:space="preserve">an item transition plus actor, request, diff, and prior hash becomes a canonical hash-linked event.</w:t>
      </w:r>
      <w:r>
        <w:t xml:space="preserve"> </w:t>
      </w:r>
      <w:r>
        <w:rPr>
          <w:bCs/>
          <w:b/>
        </w:rPr>
        <w:t xml:space="preserve">Failure:</w:t>
      </w:r>
      <w:r>
        <w:t xml:space="preserve"> </w:t>
      </w:r>
      <w:r>
        <w:t xml:space="preserve">database triggers reject updates/deletes; a chain mismatch is detectable, although the hash is neither a signature nor an external timestamp.</w:t>
      </w:r>
      <w:r>
        <w:t xml:space="preserve"> </w:t>
      </w:r>
      <w:r>
        <w:rPr>
          <w:bCs/>
          <w:b/>
        </w:rPr>
        <w:t xml:space="preserve">Trace:</w:t>
      </w:r>
      <w:r>
        <w:t xml:space="preserve"> </w:t>
      </w:r>
      <w:r>
        <w:t xml:space="preserve">RQ5/RQ7 and UI-07–UI-08.</w:t>
      </w:r>
    </w:p>
    <w:p>
      <w:pPr>
        <w:pStyle w:val="SourceCode"/>
      </w:pPr>
      <w:r>
        <w:rPr>
          <w:rStyle w:val="NormalTok"/>
        </w:rPr>
        <w:t xml:space="preserve">answer </w:t>
      </w:r>
      <w:r>
        <w:rPr>
          <w:rStyle w:val="OperatorTok"/>
        </w:rPr>
        <w:t xml:space="preserve">=</w:t>
      </w:r>
      <w:r>
        <w:rPr>
          <w:rStyle w:val="NormalTok"/>
        </w:rPr>
        <w:t xml:space="preserve"> client.post(</w:t>
      </w:r>
      <w:r>
        <w:rPr>
          <w:rStyle w:val="StringTok"/>
        </w:rPr>
        <w:t xml:space="preserve">"/api/ask"</w:t>
      </w:r>
      <w:r>
        <w:rPr>
          <w:rStyle w:val="NormalTok"/>
        </w:rPr>
        <w:t xml:space="preserve">, json</w:t>
      </w:r>
      <w:r>
        <w:rPr>
          <w:rStyle w:val="OperatorTok"/>
        </w:rPr>
        <w:t xml:space="preserve">=</w:t>
      </w:r>
      <w:r>
        <w:rPr>
          <w:rStyle w:val="NormalTok"/>
        </w:rPr>
        <w:t xml:space="preserve">{</w:t>
      </w:r>
      <w:r>
        <w:rPr>
          <w:rStyle w:val="StringTok"/>
        </w:rPr>
        <w:t xml:space="preserve">"question"</w:t>
      </w:r>
      <w:r>
        <w:rPr>
          <w:rStyle w:val="NormalTok"/>
        </w:rPr>
        <w:t xml:space="preserve">: private_q})</w:t>
      </w:r>
      <w:r>
        <w:br/>
      </w:r>
      <w:r>
        <w:rPr>
          <w:rStyle w:val="NormalTok"/>
        </w:rPr>
        <w:t xml:space="preserve">finder </w:t>
      </w:r>
      <w:r>
        <w:rPr>
          <w:rStyle w:val="OperatorTok"/>
        </w:rPr>
        <w:t xml:space="preserve">=</w:t>
      </w:r>
      <w:r>
        <w:rPr>
          <w:rStyle w:val="NormalTok"/>
        </w:rPr>
        <w:t xml:space="preserve"> client.post(</w:t>
      </w:r>
      <w:r>
        <w:rPr>
          <w:rStyle w:val="StringTok"/>
        </w:rPr>
        <w:t xml:space="preserve">"/api/recommendations/extensions"</w:t>
      </w:r>
      <w:r>
        <w:rPr>
          <w:rStyle w:val="NormalTok"/>
        </w:rPr>
        <w:t xml:space="preserve">,</w:t>
      </w:r>
      <w:r>
        <w:br/>
      </w:r>
      <w:r>
        <w:rPr>
          <w:rStyle w:val="NormalTok"/>
        </w:rPr>
        <w:t xml:space="preserve">                     json</w:t>
      </w:r>
      <w:r>
        <w:rPr>
          <w:rStyle w:val="OperatorTok"/>
        </w:rPr>
        <w:t xml:space="preserve">=</w:t>
      </w:r>
      <w:r>
        <w:rPr>
          <w:rStyle w:val="NormalTok"/>
        </w:rPr>
        <w:t xml:space="preserve">{</w:t>
      </w:r>
      <w:r>
        <w:rPr>
          <w:rStyle w:val="StringTok"/>
        </w:rPr>
        <w:t xml:space="preserve">"interests"</w:t>
      </w:r>
      <w:r>
        <w:rPr>
          <w:rStyle w:val="NormalTok"/>
        </w:rPr>
        <w:t xml:space="preserve">: private_interests})</w:t>
      </w:r>
      <w:r>
        <w:br/>
      </w:r>
      <w:r>
        <w:rPr>
          <w:rStyle w:val="ControlFlowTok"/>
        </w:rPr>
        <w:t xml:space="preserve">assert</w:t>
      </w:r>
      <w:r>
        <w:rPr>
          <w:rStyle w:val="NormalTok"/>
        </w:rPr>
        <w:t xml:space="preserve"> answer.json()[</w:t>
      </w:r>
      <w:r>
        <w:rPr>
          <w:rStyle w:val="StringTok"/>
        </w:rPr>
        <w:t xml:space="preserve">"persist"</w:t>
      </w:r>
      <w:r>
        <w:rPr>
          <w:rStyle w:val="NormalTok"/>
        </w:rPr>
        <w:t xml:space="preserve">] </w:t>
      </w:r>
      <w:r>
        <w:rPr>
          <w:rStyle w:val="KeywordTok"/>
        </w:rPr>
        <w:t xml:space="preserve">is</w:t>
      </w:r>
      <w:r>
        <w:rPr>
          <w:rStyle w:val="NormalTok"/>
        </w:rPr>
        <w:t xml:space="preserve"> </w:t>
      </w:r>
      <w:r>
        <w:rPr>
          <w:rStyle w:val="VariableTok"/>
        </w:rPr>
        <w:t xml:space="preserve">False</w:t>
      </w:r>
      <w:r>
        <w:br/>
      </w:r>
      <w:r>
        <w:rPr>
          <w:rStyle w:val="ControlFlowTok"/>
        </w:rPr>
        <w:t xml:space="preserve">assert</w:t>
      </w:r>
      <w:r>
        <w:rPr>
          <w:rStyle w:val="NormalTok"/>
        </w:rPr>
        <w:t xml:space="preserve"> finder.json()[</w:t>
      </w:r>
      <w:r>
        <w:rPr>
          <w:rStyle w:val="StringTok"/>
        </w:rPr>
        <w:t xml:space="preserve">"persist"</w:t>
      </w:r>
      <w:r>
        <w:rPr>
          <w:rStyle w:val="NormalTok"/>
        </w:rPr>
        <w:t xml:space="preserve">] </w:t>
      </w:r>
      <w:r>
        <w:rPr>
          <w:rStyle w:val="KeywordTok"/>
        </w:rPr>
        <w:t xml:space="preserve">is</w:t>
      </w:r>
      <w:r>
        <w:rPr>
          <w:rStyle w:val="NormalTok"/>
        </w:rPr>
        <w:t xml:space="preserve"> </w:t>
      </w:r>
      <w:r>
        <w:rPr>
          <w:rStyle w:val="VariableTok"/>
        </w:rPr>
        <w:t xml:space="preserve">False</w:t>
      </w:r>
      <w:r>
        <w:br/>
      </w:r>
      <w:r>
        <w:rPr>
          <w:rStyle w:val="ControlFlowTok"/>
        </w:rPr>
        <w:t xml:space="preserve">assert</w:t>
      </w:r>
      <w:r>
        <w:rPr>
          <w:rStyle w:val="NormalTok"/>
        </w:rPr>
        <w:t xml:space="preserve"> answer.headers[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"no-store"</w:t>
      </w:r>
      <w:r>
        <w:br/>
      </w:r>
      <w:r>
        <w:rPr>
          <w:rStyle w:val="ControlFlowTok"/>
        </w:rPr>
        <w:t xml:space="preserve">assert</w:t>
      </w:r>
      <w:r>
        <w:rPr>
          <w:rStyle w:val="NormalTok"/>
        </w:rPr>
        <w:t xml:space="preserve"> finder.headers[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"no-store"</w:t>
      </w:r>
      <w:r>
        <w:br/>
      </w:r>
      <w:r>
        <w:rPr>
          <w:rStyle w:val="ControlFlowTok"/>
        </w:rPr>
        <w:t xml:space="preserve">assert</w:t>
      </w:r>
      <w:r>
        <w:rPr>
          <w:rStyle w:val="NormalTok"/>
        </w:rPr>
        <w:t xml:space="preserve"> client.get(</w:t>
      </w:r>
      <w:r>
        <w:rPr>
          <w:rStyle w:val="StringTok"/>
        </w:rPr>
        <w:t xml:space="preserve">"/api/ask/history"</w:t>
      </w:r>
      <w:r>
        <w:rPr>
          <w:rStyle w:val="NormalTok"/>
        </w:rPr>
        <w:t xml:space="preserve">).status_code </w:t>
      </w:r>
      <w:r>
        <w:rPr>
          <w:rStyle w:val="OperatorTok"/>
        </w:rPr>
        <w:t xml:space="preserve">==</w:t>
      </w:r>
      <w:r>
        <w:rPr>
          <w:rStyle w:val="NormalTok"/>
        </w:rPr>
        <w:t xml:space="preserve"> </w:t>
      </w:r>
      <w:r>
        <w:rPr>
          <w:rStyle w:val="DecValTok"/>
        </w:rPr>
        <w:t xml:space="preserve">401</w:t>
      </w:r>
      <w:r>
        <w:br/>
      </w:r>
      <w:r>
        <w:rPr>
          <w:rStyle w:val="ControlFlowTok"/>
        </w:rPr>
        <w:t xml:space="preserve">assert</w:t>
      </w:r>
      <w:r>
        <w:rPr>
          <w:rStyle w:val="NormalTok"/>
        </w:rPr>
        <w:t xml:space="preserve"> client.get(</w:t>
      </w:r>
      <w:r>
        <w:rPr>
          <w:rStyle w:val="StringTok"/>
        </w:rPr>
        <w:t xml:space="preserve">"/api/recommendations/extensions/history"</w:t>
      </w:r>
      <w:r>
        <w:rPr>
          <w:rStyle w:val="NormalTok"/>
        </w:rPr>
        <w:t xml:space="preserve">).status_code </w:t>
      </w:r>
      <w:r>
        <w:rPr>
          <w:rStyle w:val="OperatorTok"/>
        </w:rPr>
        <w:t xml:space="preserve">==</w:t>
      </w:r>
      <w:r>
        <w:rPr>
          <w:rStyle w:val="NormalTok"/>
        </w:rPr>
        <w:t xml:space="preserve"> </w:t>
      </w:r>
      <w:r>
        <w:rPr>
          <w:rStyle w:val="DecValTok"/>
        </w:rPr>
        <w:t xml:space="preserve">401</w:t>
      </w:r>
      <w:r>
        <w:br/>
      </w:r>
      <w:r>
        <w:rPr>
          <w:rStyle w:val="ControlFlowTok"/>
        </w:rPr>
        <w:t xml:space="preserve">assert</w:t>
      </w:r>
      <w:r>
        <w:rPr>
          <w:rStyle w:val="NormalTok"/>
        </w:rPr>
        <w:t xml:space="preserve"> session.</w:t>
      </w:r>
      <w:r>
        <w:rPr>
          <w:rStyle w:val="BuiltInTok"/>
        </w:rPr>
        <w:t xml:space="preserve">exec</w:t>
      </w:r>
      <w:r>
        <w:rPr>
          <w:rStyle w:val="NormalTok"/>
        </w:rPr>
        <w:t xml:space="preserve">(select(RAGAnswer)).</w:t>
      </w:r>
      <w:r>
        <w:rPr>
          <w:rStyle w:val="BuiltInTok"/>
        </w:rPr>
        <w:t xml:space="preserve">all</w:t>
      </w:r>
      <w:r>
        <w:rPr>
          <w:rStyle w:val="NormalTok"/>
        </w:rPr>
        <w:t xml:space="preserve">() </w:t>
      </w:r>
      <w:r>
        <w:rPr>
          <w:rStyle w:val="OperatorTok"/>
        </w:rPr>
        <w:t xml:space="preserve">==</w:t>
      </w:r>
      <w:r>
        <w:rPr>
          <w:rStyle w:val="NormalTok"/>
        </w:rPr>
        <w:t xml:space="preserve"> []</w:t>
      </w:r>
      <w:r>
        <w:br/>
      </w:r>
      <w:r>
        <w:rPr>
          <w:rStyle w:val="ControlFlowTok"/>
        </w:rPr>
        <w:t xml:space="preserve">assert</w:t>
      </w:r>
      <w:r>
        <w:rPr>
          <w:rStyle w:val="NormalTok"/>
        </w:rPr>
        <w:t xml:space="preserve"> session.</w:t>
      </w:r>
      <w:r>
        <w:rPr>
          <w:rStyle w:val="BuiltInTok"/>
        </w:rPr>
        <w:t xml:space="preserve">exec</w:t>
      </w:r>
      <w:r>
        <w:rPr>
          <w:rStyle w:val="NormalTok"/>
        </w:rPr>
        <w:t xml:space="preserve">(select(ThesisRecommendation)).</w:t>
      </w:r>
      <w:r>
        <w:rPr>
          <w:rStyle w:val="BuiltInTok"/>
        </w:rPr>
        <w:t xml:space="preserve">all</w:t>
      </w:r>
      <w:r>
        <w:rPr>
          <w:rStyle w:val="NormalTok"/>
        </w:rPr>
        <w:t xml:space="preserve">() </w:t>
      </w:r>
      <w:r>
        <w:rPr>
          <w:rStyle w:val="OperatorTok"/>
        </w:rPr>
        <w:t xml:space="preserve">==</w:t>
      </w:r>
      <w:r>
        <w:rPr>
          <w:rStyle w:val="NormalTok"/>
        </w:rPr>
        <w:t xml:space="preserve"> []</w:t>
      </w:r>
    </w:p>
    <w:p>
      <w:pPr>
        <w:pStyle w:val="FirstParagraph"/>
      </w:pPr>
      <w:r>
        <w:rPr>
          <w:bCs/>
          <w:b/>
        </w:rPr>
        <w:t xml:space="preserve">Contract.</w:t>
      </w:r>
      <w:r>
        <w:t xml:space="preserve"> </w:t>
      </w:r>
      <w:r>
        <w:rPr>
          <w:bCs/>
          <w:b/>
        </w:rPr>
        <w:t xml:space="preserve">Path:</w:t>
      </w:r>
      <w:r>
        <w:t xml:space="preserve"> </w:t>
      </w:r>
      <w:r>
        <w:rPr>
          <w:rStyle w:val="VerbatimChar"/>
        </w:rPr>
        <w:t xml:space="preserve">backend/tests/test_security_privacy.py</w:t>
      </w:r>
      <w:r>
        <w:t xml:space="preserve">.</w:t>
      </w:r>
      <w:r>
        <w:t xml:space="preserve"> </w:t>
      </w:r>
      <w:r>
        <w:rPr>
          <w:bCs/>
          <w:b/>
        </w:rPr>
        <w:t xml:space="preserve">Rationale:</w:t>
      </w:r>
      <w:r>
        <w:t xml:space="preserve"> </w:t>
      </w:r>
      <w:r>
        <w:t xml:space="preserve">falsify accidental retention or history disclosure.</w:t>
      </w:r>
      <w:r>
        <w:t xml:space="preserve"> </w:t>
      </w:r>
      <w:r>
        <w:rPr>
          <w:bCs/>
          <w:b/>
        </w:rPr>
        <w:t xml:space="preserve">Input/output:</w:t>
      </w:r>
      <w:r>
        <w:t xml:space="preserve"> </w:t>
      </w:r>
      <w:r>
        <w:t xml:space="preserve">private-looking public Ask/Finder requests return transient, non-cacheable responses.</w:t>
      </w:r>
      <w:r>
        <w:t xml:space="preserve"> </w:t>
      </w:r>
      <w:r>
        <w:rPr>
          <w:bCs/>
          <w:b/>
        </w:rPr>
        <w:t xml:space="preserve">Failure:</w:t>
      </w:r>
      <w:r>
        <w:t xml:space="preserve"> </w:t>
      </w:r>
      <w:r>
        <w:t xml:space="preserve">any persistence, cacheable header, or anonymous history response fails the test; external browser, proxy, operating-system, and network logs remain outside it.</w:t>
      </w:r>
      <w:r>
        <w:t xml:space="preserve"> </w:t>
      </w:r>
      <w:r>
        <w:rPr>
          <w:bCs/>
          <w:b/>
        </w:rPr>
        <w:t xml:space="preserve">Trace:</w:t>
      </w:r>
      <w:r>
        <w:t xml:space="preserve"> </w:t>
      </w:r>
      <w:r>
        <w:t xml:space="preserve">RQ7 and UI-06/UI-09.</w:t>
      </w:r>
    </w:p>
    <w:bookmarkEnd w:id="185"/>
    <w:bookmarkEnd w:id="186"/>
    <w:bookmarkStart w:id="193" w:name="app:review-instruments"/>
    <w:p>
      <w:pPr>
        <w:pStyle w:val="Heading1"/>
      </w:pPr>
      <w:r>
        <w:t xml:space="preserve">Appendix D: Executed AI-Review Instruments</w:t>
      </w:r>
    </w:p>
    <w:p>
      <w:pPr>
        <w:pStyle w:val="FirstParagraph"/>
      </w:pPr>
      <w:r>
        <w:t xml:space="preserve">These AI-review instruments produced silver evidence, not human-participant data. Historical v1 records remain immutable. The prospective package freezes source-first cases/splits, repeats one AI process in shuffled order, retains disagreements, and versions only rights-safe structural outputs; raw answers, snippets, and recommendations remain restricted.</w:t>
      </w:r>
    </w:p>
    <w:bookmarkStart w:id="187" w:name="d.1-retrieval-relevance"/>
    <w:p>
      <w:pPr>
        <w:pStyle w:val="Heading2"/>
      </w:pPr>
      <w:r>
        <w:t xml:space="preserve">D.1 Retrieval relevance</w:t>
      </w:r>
    </w:p>
    <w:p>
      <w:pPr>
        <w:pStyle w:val="FirstParagraph"/>
      </w:pPr>
      <w:r>
        <w:t xml:space="preserve">For each question, the reviewer recorded category, answerability, relevant paper IDs, graded relevance, supporting chunk/page evidence, source rationale, creation decision, shuffled verification decision, disagreement, and adjudication. Rankings were unavailable to the label-creation process. Test cases were not used for tuning.</w:t>
      </w:r>
    </w:p>
    <w:bookmarkEnd w:id="187"/>
    <w:bookmarkStart w:id="188" w:name="d.2-answer-and-citation-review"/>
    <w:p>
      <w:pPr>
        <w:pStyle w:val="Heading2"/>
      </w:pPr>
      <w:r>
        <w:t xml:space="preserve">D.2 Answer and citation review</w:t>
      </w:r>
    </w:p>
    <w:p>
      <w:pPr>
        <w:pStyle w:val="FirstParagraph"/>
      </w:pPr>
      <w:r>
        <w:t xml:space="preserve">Every answer was segmented into atomic checkable claims. For each claim the instrument recorded support (supported/partial/unsupported), inline source IDs, correct paper/chunk/page, citation relation (correct/partial/incorrect), unsupported general knowledge, and error tags. At answer level it recorded expected answer points (covered/partial/missing), answerability decision, abstention, returned-citation use, and notes.</w:t>
      </w:r>
    </w:p>
    <w:bookmarkEnd w:id="188"/>
    <w:bookmarkStart w:id="189" w:name="d.3-recommendation-review"/>
    <w:p>
      <w:pPr>
        <w:pStyle w:val="Heading2"/>
      </w:pPr>
      <w:r>
        <w:t xml:space="preserve">D.3 Recommendation review</w:t>
      </w:r>
    </w:p>
    <w:p>
      <w:pPr>
        <w:pStyle w:val="FirstParagraph"/>
      </w:pPr>
      <w:r>
        <w:t xml:space="preserve">Each of three evidence-only and three full-finder results per profile was reviewed for paper relevance and source fidelity. Full outputs were also reviewed for fact/future-work/gap/suggestion separation, novelty caution, skills/time/data feasibility, MVP scope, stretch scope, risk, required skills, evaluation-plan quality, and usefulness as an AI proxy. The proxy judgment is not evidence of student or supervisor benefit.</w:t>
      </w:r>
    </w:p>
    <w:bookmarkEnd w:id="189"/>
    <w:bookmarkStart w:id="190" w:name="d.4-topic-and-author-review"/>
    <w:p>
      <w:pPr>
        <w:pStyle w:val="Heading2"/>
      </w:pPr>
      <w:r>
        <w:t xml:space="preserve">D.4 Topic and author review</w:t>
      </w:r>
    </w:p>
    <w:p>
      <w:pPr>
        <w:pStyle w:val="FirstParagraph"/>
      </w:pPr>
      <w:r>
        <w:t xml:space="preserve">Paper cases retained applicable controlled labels, explicit source passages, multi-label and other/unknown state, and two review passes. Author auditing first checked canonical/alias identity, excluded-paper leakage, authorship mismatch, and possible same-person candidates. Topic associations were then constrained to eligible indexed publications. No availability, endorsement, or supervision judgment was requested.</w:t>
      </w:r>
    </w:p>
    <w:bookmarkEnd w:id="190"/>
    <w:bookmarkStart w:id="191" w:name="d.5-generated-output-review"/>
    <w:p>
      <w:pPr>
        <w:pStyle w:val="Heading2"/>
      </w:pPr>
      <w:r>
        <w:t xml:space="preserve">D.5 Generated-output review</w:t>
      </w:r>
    </w:p>
    <w:p>
      <w:pPr>
        <w:pStyle w:val="FirstParagraph"/>
      </w:pPr>
      <w:r>
        <w:t xml:space="preserve">Every stored RAG answer, recommendation, summary, technical summary, contribution, method, limitation, future-work section, suggested extension, skill/evaluation-plan structure, and podcast script was inspected for source locators, claim boundaries, configuration sufficiency, and safe status. Corrections were applied through append-only attributed events. AI review could assign only</w:t>
      </w:r>
      <w:r>
        <w:t xml:space="preserve"> </w:t>
      </w:r>
      <w:r>
        <w:rPr>
          <w:rStyle w:val="VerbatimChar"/>
        </w:rPr>
        <w:t xml:space="preserve">ai_reviewed</w:t>
      </w:r>
      <w:r>
        <w:t xml:space="preserve"> </w:t>
      </w:r>
      <w:r>
        <w:t xml:space="preserve">or</w:t>
      </w:r>
      <w:r>
        <w:t xml:space="preserve"> </w:t>
      </w:r>
      <w:r>
        <w:rPr>
          <w:rStyle w:val="VerbatimChar"/>
        </w:rPr>
        <w:t xml:space="preserve">needs_reprocess</w:t>
      </w:r>
      <w:r>
        <w:t xml:space="preserve">; it could not approve content as human-reviewed.</w:t>
      </w:r>
    </w:p>
    <w:bookmarkEnd w:id="191"/>
    <w:bookmarkStart w:id="192" w:name="d.6-future-human-instrument-boundary"/>
    <w:p>
      <w:pPr>
        <w:pStyle w:val="Heading2"/>
      </w:pPr>
      <w:r>
        <w:t xml:space="preserve">D.6 Future human instrument boundary</w:t>
      </w:r>
    </w:p>
    <w:p>
      <w:pPr>
        <w:pStyle w:val="FirstParagraph"/>
      </w:pPr>
      <w:r>
        <w:t xml:space="preserve">A later human study would require an institutional ethics determination and a separate protocol covering recruitment, consent, inclusion criteria, sample-size rationale, assessor training, anonymity, retention, withdrawal, compensation, rating scales, agreement/adjudication, and adverse-event/correction handling. Nothing in the AI-silver process is presented as satisfying those requirements.</w:t>
      </w:r>
    </w:p>
    <w:bookmarkEnd w:id="192"/>
    <w:bookmarkEnd w:id="193"/>
    <w:bookmarkStart w:id="270" w:name="bibliography"/>
    <w:p>
      <w:pPr>
        <w:pStyle w:val="Heading1"/>
      </w:pPr>
      <w:r>
        <w:t xml:space="preserve">References</w:t>
      </w:r>
    </w:p>
    <w:bookmarkStart w:id="269" w:name="refs"/>
    <w:bookmarkStart w:id="195" w:name="ref-narine2025automating"/>
    <w:p>
      <w:pPr>
        <w:pStyle w:val="Bibliography"/>
      </w:pPr>
      <w:r>
        <w:t xml:space="preserve">[1]</w:t>
      </w:r>
      <w:r>
        <w:t xml:space="preserve"> </w:t>
      </w:r>
      <w:r>
        <w:t xml:space="preserve">	</w:t>
      </w:r>
      <w:r>
        <w:t xml:space="preserve">T. Narine and P. Hosein,</w:t>
      </w:r>
      <w:r>
        <w:t xml:space="preserve"> </w:t>
      </w:r>
      <w:r>
        <w:t xml:space="preserve">“Automating the collection, display, summarization and podcasting of academic research,”</w:t>
      </w:r>
      <w:r>
        <w:t xml:space="preserve"> </w:t>
      </w:r>
      <w:r>
        <w:t xml:space="preserve">in</w:t>
      </w:r>
      <w:r>
        <w:t xml:space="preserve"> </w:t>
      </w:r>
      <w:r>
        <w:rPr>
          <w:iCs/>
          <w:i/>
        </w:rPr>
        <w:t xml:space="preserve">2025 IEEE 9th forum on research and technologies for society and industry (RTSI)</w:t>
      </w:r>
      <w:r>
        <w:t xml:space="preserve">, Tunis, Tunisia: IEEE, Aug. 2025, pp. 35–40. doi:</w:t>
      </w:r>
      <w:r>
        <w:t xml:space="preserve"> </w:t>
      </w:r>
      <w:hyperlink r:id="rId194">
        <w:r>
          <w:rPr>
            <w:rStyle w:val="Hyperlink"/>
          </w:rPr>
          <w:t xml:space="preserve">10.1109/RTSI64020.2025.11212505</w:t>
        </w:r>
      </w:hyperlink>
      <w:r>
        <w:t xml:space="preserve">.</w:t>
      </w:r>
    </w:p>
    <w:bookmarkEnd w:id="195"/>
    <w:bookmarkStart w:id="197" w:name="ref-giles1998citeseer"/>
    <w:p>
      <w:pPr>
        <w:pStyle w:val="Bibliography"/>
      </w:pPr>
      <w:r>
        <w:t xml:space="preserve">[2]</w:t>
      </w:r>
      <w:r>
        <w:t xml:space="preserve"> </w:t>
      </w:r>
      <w:r>
        <w:t xml:space="preserve">	</w:t>
      </w:r>
      <w:r>
        <w:t xml:space="preserve">C. L. Giles, K. D. Bollacker, and S. Lawrence,</w:t>
      </w:r>
      <w:r>
        <w:t xml:space="preserve"> </w:t>
      </w:r>
      <w:r>
        <w:t xml:space="preserve">“</w:t>
      </w:r>
      <w:r>
        <w:t xml:space="preserve">CiteSeer</w:t>
      </w:r>
      <w:r>
        <w:t xml:space="preserve">: An automatic citation indexing system,”</w:t>
      </w:r>
      <w:r>
        <w:t xml:space="preserve"> </w:t>
      </w:r>
      <w:r>
        <w:t xml:space="preserve">in</w:t>
      </w:r>
      <w:r>
        <w:t xml:space="preserve"> </w:t>
      </w:r>
      <w:r>
        <w:rPr>
          <w:iCs/>
          <w:i/>
        </w:rPr>
        <w:t xml:space="preserve">Proceedings of the third ACM conference on digital libraries</w:t>
      </w:r>
      <w:r>
        <w:t xml:space="preserve">, New York, NY, USA: ACM Press, 1998, pp. 89–98. doi:</w:t>
      </w:r>
      <w:r>
        <w:t xml:space="preserve"> </w:t>
      </w:r>
      <w:hyperlink r:id="rId196">
        <w:r>
          <w:rPr>
            <w:rStyle w:val="Hyperlink"/>
          </w:rPr>
          <w:t xml:space="preserve">10.1145/276675.276685</w:t>
        </w:r>
      </w:hyperlink>
      <w:r>
        <w:t xml:space="preserve">.</w:t>
      </w:r>
    </w:p>
    <w:bookmarkEnd w:id="197"/>
    <w:bookmarkStart w:id="199" w:name="ref-tang2008arnetminer"/>
    <w:p>
      <w:pPr>
        <w:pStyle w:val="Bibliography"/>
      </w:pPr>
      <w:r>
        <w:t xml:space="preserve">[3]</w:t>
      </w:r>
      <w:r>
        <w:t xml:space="preserve"> </w:t>
      </w:r>
      <w:r>
        <w:t xml:space="preserve">	</w:t>
      </w:r>
      <w:r>
        <w:t xml:space="preserve">J. Tang, J. Zhang, L. Yao, J. Li, L. Zhang, and Z. Su,</w:t>
      </w:r>
      <w:r>
        <w:t xml:space="preserve"> </w:t>
      </w:r>
      <w:r>
        <w:t xml:space="preserve">“</w:t>
      </w:r>
      <w:r>
        <w:t xml:space="preserve">ArnetMiner</w:t>
      </w:r>
      <w:r>
        <w:t xml:space="preserve">: Extraction and mining of academic social networks,”</w:t>
      </w:r>
      <w:r>
        <w:t xml:space="preserve"> </w:t>
      </w:r>
      <w:r>
        <w:t xml:space="preserve">in</w:t>
      </w:r>
      <w:r>
        <w:t xml:space="preserve"> </w:t>
      </w:r>
      <w:r>
        <w:rPr>
          <w:iCs/>
          <w:i/>
        </w:rPr>
        <w:t xml:space="preserve">Proceedings of the 14th ACM SIGKDD international conference on knowledge discovery and data mining</w:t>
      </w:r>
      <w:r>
        <w:t xml:space="preserve">, New York, NY, USA: ACM, 2008, pp. 990–998. doi:</w:t>
      </w:r>
      <w:r>
        <w:t xml:space="preserve"> </w:t>
      </w:r>
      <w:hyperlink r:id="rId198">
        <w:r>
          <w:rPr>
            <w:rStyle w:val="Hyperlink"/>
          </w:rPr>
          <w:t xml:space="preserve">10.1145/1401890.1402008</w:t>
        </w:r>
      </w:hyperlink>
      <w:r>
        <w:t xml:space="preserve">.</w:t>
      </w:r>
    </w:p>
    <w:bookmarkEnd w:id="199"/>
    <w:bookmarkStart w:id="201" w:name="ref-ammar2018literaturegraph"/>
    <w:p>
      <w:pPr>
        <w:pStyle w:val="Bibliography"/>
      </w:pPr>
      <w:r>
        <w:t xml:space="preserve">[4]</w:t>
      </w:r>
      <w:r>
        <w:t xml:space="preserve"> </w:t>
      </w:r>
      <w:r>
        <w:t xml:space="preserve">	</w:t>
      </w:r>
      <w:r>
        <w:t xml:space="preserve">W. Ammar</w:t>
      </w:r>
      <w:r>
        <w:t xml:space="preserve"> </w:t>
      </w:r>
      <w:r>
        <w:rPr>
          <w:iCs/>
          <w:i/>
        </w:rPr>
        <w:t xml:space="preserve">et al.</w:t>
      </w:r>
      <w:r>
        <w:t xml:space="preserve">,</w:t>
      </w:r>
      <w:r>
        <w:t xml:space="preserve"> </w:t>
      </w:r>
      <w:r>
        <w:t xml:space="preserve">“Construction of the literature graph in</w:t>
      </w:r>
      <w:r>
        <w:t xml:space="preserve"> </w:t>
      </w:r>
      <w:r>
        <w:t xml:space="preserve">Semantic Scholar</w:t>
      </w:r>
      <w:r>
        <w:t xml:space="preserve">,”</w:t>
      </w:r>
      <w:r>
        <w:t xml:space="preserve"> </w:t>
      </w:r>
      <w:r>
        <w:t xml:space="preserve">in</w:t>
      </w:r>
      <w:r>
        <w:t xml:space="preserve"> </w:t>
      </w:r>
      <w:r>
        <w:rPr>
          <w:iCs/>
          <w:i/>
        </w:rPr>
        <w:t xml:space="preserve">Proceedings of the 2018 conference of the north american chapter of the association for computational linguistics: Human language technologies, volume 3 (industry papers)</w:t>
      </w:r>
      <w:r>
        <w:t xml:space="preserve">, New Orleans, Louisiana: Association for Computational Linguistics, Jun. 2018, pp. 84–91. doi:</w:t>
      </w:r>
      <w:r>
        <w:t xml:space="preserve"> </w:t>
      </w:r>
      <w:hyperlink r:id="rId200">
        <w:r>
          <w:rPr>
            <w:rStyle w:val="Hyperlink"/>
          </w:rPr>
          <w:t xml:space="preserve">10.18653/v1/N18-3011</w:t>
        </w:r>
      </w:hyperlink>
      <w:r>
        <w:t xml:space="preserve">.</w:t>
      </w:r>
    </w:p>
    <w:bookmarkEnd w:id="201"/>
    <w:bookmarkStart w:id="203" w:name="ref-lo2020s2orc"/>
    <w:p>
      <w:pPr>
        <w:pStyle w:val="Bibliography"/>
      </w:pPr>
      <w:r>
        <w:t xml:space="preserve">[5]</w:t>
      </w:r>
      <w:r>
        <w:t xml:space="preserve"> </w:t>
      </w:r>
      <w:r>
        <w:t xml:space="preserve">	</w:t>
      </w:r>
      <w:r>
        <w:t xml:space="preserve">K. Lo, L. L. Wang, M. Neumann, R. Kinney, and D. Weld,</w:t>
      </w:r>
      <w:r>
        <w:t xml:space="preserve"> </w:t>
      </w:r>
      <w:r>
        <w:t xml:space="preserve">“</w:t>
      </w:r>
      <w:r>
        <w:t xml:space="preserve">S2ORC</w:t>
      </w:r>
      <w:r>
        <w:t xml:space="preserve">: The semantic scholar open research corpus,”</w:t>
      </w:r>
      <w:r>
        <w:t xml:space="preserve"> </w:t>
      </w:r>
      <w:r>
        <w:t xml:space="preserve">in</w:t>
      </w:r>
      <w:r>
        <w:t xml:space="preserve"> </w:t>
      </w:r>
      <w:r>
        <w:rPr>
          <w:iCs/>
          <w:i/>
        </w:rPr>
        <w:t xml:space="preserve">Proceedings of the 58th annual meeting of the association for computational linguistics</w:t>
      </w:r>
      <w:r>
        <w:t xml:space="preserve">, Online: Association for Computational Linguistics, Jul. 2020, pp. 4969–4983. doi:</w:t>
      </w:r>
      <w:r>
        <w:t xml:space="preserve"> </w:t>
      </w:r>
      <w:hyperlink r:id="rId202">
        <w:r>
          <w:rPr>
            <w:rStyle w:val="Hyperlink"/>
          </w:rPr>
          <w:t xml:space="preserve">10.18653/v1/2020.acl-main.447</w:t>
        </w:r>
      </w:hyperlink>
      <w:r>
        <w:t xml:space="preserve">.</w:t>
      </w:r>
    </w:p>
    <w:bookmarkEnd w:id="203"/>
    <w:bookmarkStart w:id="205" w:name="ref-priem2022openalex"/>
    <w:p>
      <w:pPr>
        <w:pStyle w:val="Bibliography"/>
      </w:pPr>
      <w:r>
        <w:t xml:space="preserve">[6]</w:t>
      </w:r>
      <w:r>
        <w:t xml:space="preserve"> </w:t>
      </w:r>
      <w:r>
        <w:t xml:space="preserve">	</w:t>
      </w:r>
      <w:r>
        <w:t xml:space="preserve">J. Priem, H. Piwowar, and R. Orr,</w:t>
      </w:r>
      <w:r>
        <w:t xml:space="preserve"> </w:t>
      </w:r>
      <w:r>
        <w:t xml:space="preserve">“</w:t>
      </w:r>
      <w:r>
        <w:t xml:space="preserve">OpenAlex</w:t>
      </w:r>
      <w:r>
        <w:t xml:space="preserve">: A fully-open index of scholarly works, authors, venues, institutions, and concepts,”</w:t>
      </w:r>
      <w:r>
        <w:t xml:space="preserve"> </w:t>
      </w:r>
      <w:r>
        <w:rPr>
          <w:iCs/>
          <w:i/>
        </w:rPr>
        <w:t xml:space="preserve">arXiv preprint arXiv:2205.01833</w:t>
      </w:r>
      <w:r>
        <w:t xml:space="preserve">, 2022, doi:</w:t>
      </w:r>
      <w:r>
        <w:t xml:space="preserve"> </w:t>
      </w:r>
      <w:hyperlink r:id="rId204">
        <w:r>
          <w:rPr>
            <w:rStyle w:val="Hyperlink"/>
          </w:rPr>
          <w:t xml:space="preserve">10.48550/arXiv.2205.01833</w:t>
        </w:r>
      </w:hyperlink>
      <w:r>
        <w:t xml:space="preserve">.</w:t>
      </w:r>
    </w:p>
    <w:bookmarkEnd w:id="205"/>
    <w:bookmarkStart w:id="207" w:name="ref-lewis2020rag"/>
    <w:p>
      <w:pPr>
        <w:pStyle w:val="Bibliography"/>
      </w:pPr>
      <w:r>
        <w:t xml:space="preserve">[7]</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w:t>
      </w:r>
      <w:r>
        <w:t xml:space="preserve">, Curran Associates, Inc., 2020, pp. 9459–9474. Available:</w:t>
      </w:r>
      <w:r>
        <w:t xml:space="preserve"> </w:t>
      </w:r>
      <w:hyperlink r:id="rId206">
        <w:r>
          <w:rPr>
            <w:rStyle w:val="Hyperlink"/>
          </w:rPr>
          <w:t xml:space="preserve">https://proceedings.neurips.cc/paper/2020/hash/6b493230-Abstract.html</w:t>
        </w:r>
      </w:hyperlink>
    </w:p>
    <w:bookmarkEnd w:id="207"/>
    <w:bookmarkStart w:id="209" w:name="ref-hevner2004designscience"/>
    <w:p>
      <w:pPr>
        <w:pStyle w:val="Bibliography"/>
      </w:pPr>
      <w:r>
        <w:t xml:space="preserve">[8]</w:t>
      </w:r>
      <w:r>
        <w:t xml:space="preserve"> </w:t>
      </w:r>
      <w:r>
        <w:t xml:space="preserve">	</w:t>
      </w:r>
      <w:r>
        <w:t xml:space="preserve">A. R. Hevner, S. T. March, J. Park, and S. Ram,</w:t>
      </w:r>
      <w:r>
        <w:t xml:space="preserve"> </w:t>
      </w:r>
      <w:r>
        <w:t xml:space="preserve">“Design science in information systems research,”</w:t>
      </w:r>
      <w:r>
        <w:t xml:space="preserve"> </w:t>
      </w:r>
      <w:r>
        <w:rPr>
          <w:iCs/>
          <w:i/>
        </w:rPr>
        <w:t xml:space="preserve">MIS Quarterly</w:t>
      </w:r>
      <w:r>
        <w:t xml:space="preserve">, vol. 28, no. 1, pp. 75–105, 2004, doi:</w:t>
      </w:r>
      <w:r>
        <w:t xml:space="preserve"> </w:t>
      </w:r>
      <w:hyperlink r:id="rId208">
        <w:r>
          <w:rPr>
            <w:rStyle w:val="Hyperlink"/>
          </w:rPr>
          <w:t xml:space="preserve">10.2307/25148625</w:t>
        </w:r>
      </w:hyperlink>
      <w:r>
        <w:t xml:space="preserve">.</w:t>
      </w:r>
    </w:p>
    <w:bookmarkEnd w:id="209"/>
    <w:bookmarkStart w:id="211" w:name="ref-peffers2007dsrm"/>
    <w:p>
      <w:pPr>
        <w:pStyle w:val="Bibliography"/>
      </w:pPr>
      <w:r>
        <w:t xml:space="preserve">[9]</w:t>
      </w:r>
      <w:r>
        <w:t xml:space="preserve"> </w:t>
      </w:r>
      <w:r>
        <w:t xml:space="preserve">	</w:t>
      </w:r>
      <w:r>
        <w:t xml:space="preserve">K. Peffers, T. Tuunanen, M. A. Rothenberger, and S. Chatterjee,</w:t>
      </w:r>
      <w:r>
        <w:t xml:space="preserve"> </w:t>
      </w:r>
      <w:r>
        <w:t xml:space="preserve">“A design science research methodology for information systems research,”</w:t>
      </w:r>
      <w:r>
        <w:t xml:space="preserve"> </w:t>
      </w:r>
      <w:r>
        <w:rPr>
          <w:iCs/>
          <w:i/>
        </w:rPr>
        <w:t xml:space="preserve">Journal of Management Information Systems</w:t>
      </w:r>
      <w:r>
        <w:t xml:space="preserve">, vol. 24, no. 3, pp. 45–77, 2007, doi:</w:t>
      </w:r>
      <w:r>
        <w:t xml:space="preserve"> </w:t>
      </w:r>
      <w:hyperlink r:id="rId210">
        <w:r>
          <w:rPr>
            <w:rStyle w:val="Hyperlink"/>
          </w:rPr>
          <w:t xml:space="preserve">10.2753/MIS0742-1222240302</w:t>
        </w:r>
      </w:hyperlink>
      <w:r>
        <w:t xml:space="preserve">.</w:t>
      </w:r>
    </w:p>
    <w:bookmarkEnd w:id="211"/>
    <w:bookmarkStart w:id="213" w:name="ref-robertson2009bm25"/>
    <w:p>
      <w:pPr>
        <w:pStyle w:val="Bibliography"/>
      </w:pPr>
      <w:r>
        <w:t xml:space="preserve">[10]</w:t>
      </w:r>
      <w:r>
        <w:t xml:space="preserve"> </w:t>
      </w:r>
      <w:r>
        <w:t xml:space="preserve">	</w:t>
      </w:r>
      <w:r>
        <w:t xml:space="preserve">S. Robertson and H. Zaragoza,</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vol. 4, no. 1–2, pp. 1–174, 2009, doi:</w:t>
      </w:r>
      <w:r>
        <w:t xml:space="preserve"> </w:t>
      </w:r>
      <w:hyperlink r:id="rId212">
        <w:r>
          <w:rPr>
            <w:rStyle w:val="Hyperlink"/>
          </w:rPr>
          <w:t xml:space="preserve">10.1561/1500000019</w:t>
        </w:r>
      </w:hyperlink>
      <w:r>
        <w:t xml:space="preserve">.</w:t>
      </w:r>
    </w:p>
    <w:bookmarkEnd w:id="213"/>
    <w:bookmarkStart w:id="215" w:name="ref-weinberger2009featurehashing"/>
    <w:p>
      <w:pPr>
        <w:pStyle w:val="Bibliography"/>
      </w:pPr>
      <w:r>
        <w:t xml:space="preserve">[11]</w:t>
      </w:r>
      <w:r>
        <w:t xml:space="preserve"> </w:t>
      </w:r>
      <w:r>
        <w:t xml:space="preserve">	</w:t>
      </w:r>
      <w:r>
        <w:t xml:space="preserve">K. Weinberger, A. Dasgupta, J. Langford, A. Smola, and J. Attenberg,</w:t>
      </w:r>
      <w:r>
        <w:t xml:space="preserve"> </w:t>
      </w:r>
      <w:r>
        <w:t xml:space="preserve">“Feature hashing for large scale multitask learning,”</w:t>
      </w:r>
      <w:r>
        <w:t xml:space="preserve"> </w:t>
      </w:r>
      <w:r>
        <w:t xml:space="preserve">in</w:t>
      </w:r>
      <w:r>
        <w:t xml:space="preserve"> </w:t>
      </w:r>
      <w:r>
        <w:rPr>
          <w:iCs/>
          <w:i/>
        </w:rPr>
        <w:t xml:space="preserve">Proceedings of the 26th annual international conference on machine learning</w:t>
      </w:r>
      <w:r>
        <w:t xml:space="preserve">, New York, NY, USA: ACM, 2009, pp. 1113–1120. doi:</w:t>
      </w:r>
      <w:r>
        <w:t xml:space="preserve"> </w:t>
      </w:r>
      <w:hyperlink r:id="rId214">
        <w:r>
          <w:rPr>
            <w:rStyle w:val="Hyperlink"/>
          </w:rPr>
          <w:t xml:space="preserve">10.1145/1553374.1553516</w:t>
        </w:r>
      </w:hyperlink>
      <w:r>
        <w:t xml:space="preserve">.</w:t>
      </w:r>
    </w:p>
    <w:bookmarkEnd w:id="215"/>
    <w:bookmarkStart w:id="217" w:name="ref-reimers2019sentencebert"/>
    <w:p>
      <w:pPr>
        <w:pStyle w:val="Bibliography"/>
      </w:pPr>
      <w:r>
        <w:t xml:space="preserve">[12]</w:t>
      </w:r>
      <w:r>
        <w:t xml:space="preserve"> </w:t>
      </w:r>
      <w:r>
        <w:t xml:space="preserve">	</w:t>
      </w:r>
      <w:r>
        <w:t xml:space="preserve">N. Reimers and I. Gurevych,</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w:t>
      </w:r>
      <w:r>
        <w:rPr>
          <w:iCs/>
          <w:i/>
        </w:rPr>
        <w:t xml:space="preserve">EMNLP-IJCNLP</w:t>
      </w:r>
      <w:r>
        <w:rPr>
          <w:iCs/>
          <w:i/>
        </w:rPr>
        <w:t xml:space="preserve">)</w:t>
      </w:r>
      <w:r>
        <w:t xml:space="preserve">, Hong Kong, China: Association for Computational Linguistics, 2019, pp. 3982–3992. doi:</w:t>
      </w:r>
      <w:r>
        <w:t xml:space="preserve"> </w:t>
      </w:r>
      <w:hyperlink r:id="rId216">
        <w:r>
          <w:rPr>
            <w:rStyle w:val="Hyperlink"/>
          </w:rPr>
          <w:t xml:space="preserve">10.18653/v1/D19-1410</w:t>
        </w:r>
      </w:hyperlink>
      <w:r>
        <w:t xml:space="preserve">.</w:t>
      </w:r>
    </w:p>
    <w:bookmarkEnd w:id="217"/>
    <w:bookmarkStart w:id="219" w:name="ref-karpukhin2020dpr"/>
    <w:p>
      <w:pPr>
        <w:pStyle w:val="Bibliography"/>
      </w:pPr>
      <w:r>
        <w:t xml:space="preserve">[13]</w:t>
      </w:r>
      <w:r>
        <w:t xml:space="preserve"> </w:t>
      </w:r>
      <w:r>
        <w:t xml:space="preserve">	</w:t>
      </w:r>
      <w:r>
        <w:t xml:space="preserve">V. Karpukhin</w:t>
      </w:r>
      <w:r>
        <w:t xml:space="preserve"> </w:t>
      </w:r>
      <w:r>
        <w:rPr>
          <w:iCs/>
          <w:i/>
        </w:rPr>
        <w:t xml:space="preserve">et al.</w:t>
      </w:r>
      <w:r>
        <w:t xml:space="preserve">,</w:t>
      </w:r>
      <w:r>
        <w:t xml:space="preserve"> </w:t>
      </w:r>
      <w:r>
        <w:t xml:space="preserve">“Dense passage retrieval for open-domain question answering,”</w:t>
      </w:r>
      <w:r>
        <w:t xml:space="preserve"> </w:t>
      </w:r>
      <w:r>
        <w:t xml:space="preserve">in</w:t>
      </w:r>
      <w:r>
        <w:t xml:space="preserve"> </w:t>
      </w:r>
      <w:r>
        <w:rPr>
          <w:iCs/>
          <w:i/>
        </w:rPr>
        <w:t xml:space="preserve">Proceedings of the 2020 conference on empirical methods in natural language processing (</w:t>
      </w:r>
      <w:r>
        <w:rPr>
          <w:iCs/>
          <w:i/>
        </w:rPr>
        <w:t xml:space="preserve">EMNLP</w:t>
      </w:r>
      <w:r>
        <w:rPr>
          <w:iCs/>
          <w:i/>
        </w:rPr>
        <w:t xml:space="preserve">)</w:t>
      </w:r>
      <w:r>
        <w:t xml:space="preserve">, Online: Association for Computational Linguistics, 2020, pp. 6769–6781. doi:</w:t>
      </w:r>
      <w:r>
        <w:t xml:space="preserve"> </w:t>
      </w:r>
      <w:hyperlink r:id="rId218">
        <w:r>
          <w:rPr>
            <w:rStyle w:val="Hyperlink"/>
          </w:rPr>
          <w:t xml:space="preserve">10.18653/v1/2020.emnlp-main.550</w:t>
        </w:r>
      </w:hyperlink>
      <w:r>
        <w:t xml:space="preserve">.</w:t>
      </w:r>
    </w:p>
    <w:bookmarkEnd w:id="219"/>
    <w:bookmarkStart w:id="221" w:name="ref-cohan2020specter"/>
    <w:p>
      <w:pPr>
        <w:pStyle w:val="Bibliography"/>
      </w:pPr>
      <w:r>
        <w:t xml:space="preserve">[14]</w:t>
      </w:r>
      <w:r>
        <w:t xml:space="preserve"> </w:t>
      </w:r>
      <w:r>
        <w:t xml:space="preserve">	</w:t>
      </w:r>
      <w:r>
        <w:t xml:space="preserve">A. Cohan, S. Feldman, I. Beltagy, D. Downey, and D. Weld,</w:t>
      </w:r>
      <w:r>
        <w:t xml:space="preserve"> </w:t>
      </w:r>
      <w:r>
        <w:t xml:space="preserve">“</w:t>
      </w:r>
      <w:r>
        <w:t xml:space="preserve">SPECTER</w:t>
      </w:r>
      <w:r>
        <w:t xml:space="preserve">: Document-level representation learning using citation-informed transformers,”</w:t>
      </w:r>
      <w:r>
        <w:t xml:space="preserve"> </w:t>
      </w:r>
      <w:r>
        <w:t xml:space="preserve">in</w:t>
      </w:r>
      <w:r>
        <w:t xml:space="preserve"> </w:t>
      </w:r>
      <w:r>
        <w:rPr>
          <w:iCs/>
          <w:i/>
        </w:rPr>
        <w:t xml:space="preserve">Proceedings of the 58th annual meeting of the association for computational linguistics</w:t>
      </w:r>
      <w:r>
        <w:t xml:space="preserve">, Online: Association for Computational Linguistics, 2020, pp. 2270–2282. doi:</w:t>
      </w:r>
      <w:r>
        <w:t xml:space="preserve"> </w:t>
      </w:r>
      <w:hyperlink r:id="rId220">
        <w:r>
          <w:rPr>
            <w:rStyle w:val="Hyperlink"/>
          </w:rPr>
          <w:t xml:space="preserve">10.18653/v1/2020.acl-main.207</w:t>
        </w:r>
      </w:hyperlink>
      <w:r>
        <w:t xml:space="preserve">.</w:t>
      </w:r>
    </w:p>
    <w:bookmarkEnd w:id="221"/>
    <w:bookmarkStart w:id="223" w:name="ref-thakur2021beir"/>
    <w:p>
      <w:pPr>
        <w:pStyle w:val="Bibliography"/>
      </w:pPr>
      <w:r>
        <w:t xml:space="preserve">[15]</w:t>
      </w:r>
      <w:r>
        <w:t xml:space="preserve"> </w:t>
      </w:r>
      <w:r>
        <w:t xml:space="preserve">	</w:t>
      </w:r>
      <w:r>
        <w:t xml:space="preserve">N. Thakur, N. Reimers, A. Rücklé, A. Srivastava, and I. Gurevych,</w:t>
      </w:r>
      <w:r>
        <w:t xml:space="preserve"> </w:t>
      </w:r>
      <w:r>
        <w:t xml:space="preserve">“</w:t>
      </w:r>
      <w:r>
        <w:t xml:space="preserve">BEIR</w:t>
      </w:r>
      <w:r>
        <w:t xml:space="preserve">: A heterogeneous benchmark for zero-shot evaluation of information retrieval models,”</w:t>
      </w:r>
      <w:r>
        <w:t xml:space="preserve"> </w:t>
      </w:r>
      <w:r>
        <w:t xml:space="preserve">in</w:t>
      </w:r>
      <w:r>
        <w:t xml:space="preserve"> </w:t>
      </w:r>
      <w:r>
        <w:rPr>
          <w:iCs/>
          <w:i/>
        </w:rPr>
        <w:t xml:space="preserve">Proceedings of the neural information processing systems track on datasets and benchmarks</w:t>
      </w:r>
      <w:r>
        <w:t xml:space="preserve">, 2021. Available:</w:t>
      </w:r>
      <w:r>
        <w:t xml:space="preserve"> </w:t>
      </w:r>
      <w:hyperlink r:id="rId222">
        <w:r>
          <w:rPr>
            <w:rStyle w:val="Hyperlink"/>
          </w:rPr>
          <w:t xml:space="preserve">https://openreview.net/forum?id=wCu6T5xFjeJ</w:t>
        </w:r>
      </w:hyperlink>
    </w:p>
    <w:bookmarkEnd w:id="223"/>
    <w:bookmarkStart w:id="225" w:name="ref-burke2002hybrid"/>
    <w:p>
      <w:pPr>
        <w:pStyle w:val="Bibliography"/>
      </w:pPr>
      <w:r>
        <w:t xml:space="preserve">[16]</w:t>
      </w:r>
      <w:r>
        <w:t xml:space="preserve"> </w:t>
      </w:r>
      <w:r>
        <w:t xml:space="preserve">	</w:t>
      </w:r>
      <w:r>
        <w:t xml:space="preserve">R. Burke,</w:t>
      </w:r>
      <w:r>
        <w:t xml:space="preserve"> </w:t>
      </w:r>
      <w:r>
        <w:t xml:space="preserve">“Hybrid recommender systems: Survey and experiments,”</w:t>
      </w:r>
      <w:r>
        <w:t xml:space="preserve"> </w:t>
      </w:r>
      <w:r>
        <w:rPr>
          <w:iCs/>
          <w:i/>
        </w:rPr>
        <w:t xml:space="preserve">User Modeling and User-Adapted Interaction</w:t>
      </w:r>
      <w:r>
        <w:t xml:space="preserve">, vol. 12, no. 4, pp. 331–370, 2002, doi:</w:t>
      </w:r>
      <w:r>
        <w:t xml:space="preserve"> </w:t>
      </w:r>
      <w:hyperlink r:id="rId224">
        <w:r>
          <w:rPr>
            <w:rStyle w:val="Hyperlink"/>
          </w:rPr>
          <w:t xml:space="preserve">10.1023/A:1021240730564</w:t>
        </w:r>
      </w:hyperlink>
      <w:r>
        <w:t xml:space="preserve">.</w:t>
      </w:r>
    </w:p>
    <w:bookmarkEnd w:id="225"/>
    <w:bookmarkStart w:id="227" w:name="ref-izacard2021fid"/>
    <w:p>
      <w:pPr>
        <w:pStyle w:val="Bibliography"/>
      </w:pPr>
      <w:r>
        <w:t xml:space="preserve">[17]</w:t>
      </w:r>
      <w:r>
        <w:t xml:space="preserve"> </w:t>
      </w:r>
      <w:r>
        <w:t xml:space="preserve">	</w:t>
      </w:r>
      <w:r>
        <w:t xml:space="preserve">G. Izacard and E. Grave,</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Online: Association for Computational Linguistics, 2021, pp. 874–880. doi:</w:t>
      </w:r>
      <w:r>
        <w:t xml:space="preserve"> </w:t>
      </w:r>
      <w:hyperlink r:id="rId226">
        <w:r>
          <w:rPr>
            <w:rStyle w:val="Hyperlink"/>
          </w:rPr>
          <w:t xml:space="preserve">10.18653/v1/2021.eacl-main.74</w:t>
        </w:r>
      </w:hyperlink>
      <w:r>
        <w:t xml:space="preserve">.</w:t>
      </w:r>
    </w:p>
    <w:bookmarkEnd w:id="227"/>
    <w:bookmarkStart w:id="229" w:name="ref-asai2024selfrag"/>
    <w:p>
      <w:pPr>
        <w:pStyle w:val="Bibliography"/>
      </w:pPr>
      <w:r>
        <w:t xml:space="preserve">[18]</w:t>
      </w:r>
      <w:r>
        <w:t xml:space="preserve"> </w:t>
      </w:r>
      <w:r>
        <w:t xml:space="preserve">	</w:t>
      </w:r>
      <w:r>
        <w:t xml:space="preserve">A. Asai, Z. Wu, Y. Wang, A. Sil, and H. Hajishirzi,</w:t>
      </w:r>
      <w:r>
        <w:t xml:space="preserve"> </w:t>
      </w:r>
      <w:r>
        <w:t xml:space="preserve">“</w:t>
      </w:r>
      <w:r>
        <w:t xml:space="preserve">SELF-RAG</w:t>
      </w:r>
      <w:r>
        <w:t xml:space="preserve">: Learning to retrieve, generate, and critique through self-reflection,”</w:t>
      </w:r>
      <w:r>
        <w:t xml:space="preserve"> </w:t>
      </w:r>
      <w:r>
        <w:t xml:space="preserve">in</w:t>
      </w:r>
      <w:r>
        <w:t xml:space="preserve"> </w:t>
      </w:r>
      <w:r>
        <w:rPr>
          <w:iCs/>
          <w:i/>
        </w:rPr>
        <w:t xml:space="preserve">The twelfth international conference on learning representations</w:t>
      </w:r>
      <w:r>
        <w:t xml:space="preserve">, 2024. Available:</w:t>
      </w:r>
      <w:r>
        <w:t xml:space="preserve"> </w:t>
      </w:r>
      <w:hyperlink r:id="rId228">
        <w:r>
          <w:rPr>
            <w:rStyle w:val="Hyperlink"/>
          </w:rPr>
          <w:t xml:space="preserve">https://openreview.net/forum?id=hSyW5go0v8</w:t>
        </w:r>
      </w:hyperlink>
    </w:p>
    <w:bookmarkEnd w:id="229"/>
    <w:bookmarkStart w:id="231" w:name="ref-es2024ragas"/>
    <w:p>
      <w:pPr>
        <w:pStyle w:val="Bibliography"/>
      </w:pPr>
      <w:r>
        <w:t xml:space="preserve">[19]</w:t>
      </w:r>
      <w:r>
        <w:t xml:space="preserve"> </w:t>
      </w:r>
      <w:r>
        <w:t xml:space="preserve">	</w:t>
      </w:r>
      <w:r>
        <w:t xml:space="preserve">S. Es, J. James, L. E. Anke, and S. Schockaert,</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St. Julians, Malta: Association for Computational Linguistics, 2024, pp. 150–158. doi:</w:t>
      </w:r>
      <w:r>
        <w:t xml:space="preserve"> </w:t>
      </w:r>
      <w:hyperlink r:id="rId230">
        <w:r>
          <w:rPr>
            <w:rStyle w:val="Hyperlink"/>
          </w:rPr>
          <w:t xml:space="preserve">10.18653/v1/2024.eacl-demo.16</w:t>
        </w:r>
      </w:hyperlink>
      <w:r>
        <w:t xml:space="preserve">.</w:t>
      </w:r>
    </w:p>
    <w:bookmarkEnd w:id="231"/>
    <w:bookmarkStart w:id="233" w:name="ref-saadfalcon2024ares"/>
    <w:p>
      <w:pPr>
        <w:pStyle w:val="Bibliography"/>
      </w:pPr>
      <w:r>
        <w:t xml:space="preserve">[20]</w:t>
      </w:r>
      <w:r>
        <w:t xml:space="preserve"> </w:t>
      </w:r>
      <w:r>
        <w:t xml:space="preserve">	</w:t>
      </w:r>
      <w:r>
        <w:t xml:space="preserve">J. Saad-Falcon, O. Khattab, C. Potts, and M. Zaharia,</w:t>
      </w:r>
      <w:r>
        <w:t xml:space="preserve"> </w:t>
      </w:r>
      <w:r>
        <w:t xml:space="preserve">“</w:t>
      </w:r>
      <w:r>
        <w:t xml:space="preserve">ARES</w:t>
      </w:r>
      <w:r>
        <w:t xml:space="preserve">: An automated evaluation framework for retrieval-augmented generation systems,”</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Mexico City, Mexico: Association for Computational Linguistics, 2024, pp. 338–354. doi:</w:t>
      </w:r>
      <w:r>
        <w:t xml:space="preserve"> </w:t>
      </w:r>
      <w:hyperlink r:id="rId232">
        <w:r>
          <w:rPr>
            <w:rStyle w:val="Hyperlink"/>
          </w:rPr>
          <w:t xml:space="preserve">10.18653/v1/2024.naacl-long.20</w:t>
        </w:r>
      </w:hyperlink>
      <w:r>
        <w:t xml:space="preserve">.</w:t>
      </w:r>
    </w:p>
    <w:bookmarkEnd w:id="233"/>
    <w:bookmarkStart w:id="235" w:name="ref-min2023factscore"/>
    <w:p>
      <w:pPr>
        <w:pStyle w:val="Bibliography"/>
      </w:pPr>
      <w:r>
        <w:t xml:space="preserve">[21]</w:t>
      </w:r>
      <w:r>
        <w:t xml:space="preserve"> </w:t>
      </w:r>
      <w:r>
        <w:t xml:space="preserve">	</w:t>
      </w:r>
      <w:r>
        <w:t xml:space="preserve">S. Min</w:t>
      </w:r>
      <w:r>
        <w:t xml:space="preserve"> </w:t>
      </w:r>
      <w:r>
        <w:rPr>
          <w:iCs/>
          <w:i/>
        </w:rPr>
        <w:t xml:space="preserve">et al.</w:t>
      </w:r>
      <w:r>
        <w:t xml:space="preserve">,</w:t>
      </w:r>
      <w:r>
        <w:t xml:space="preserve"> </w:t>
      </w:r>
      <w:r>
        <w:t xml:space="preserve">“</w:t>
      </w:r>
      <w:r>
        <w:t xml:space="preserve">FActScore</w:t>
      </w:r>
      <w:r>
        <w:t xml:space="preserve">: Fine-grained atomic evaluation of factual precision in long-form text generation,”</w:t>
      </w:r>
      <w:r>
        <w:t xml:space="preserve"> </w:t>
      </w:r>
      <w:r>
        <w:t xml:space="preserve">in</w:t>
      </w:r>
      <w:r>
        <w:t xml:space="preserve"> </w:t>
      </w:r>
      <w:r>
        <w:rPr>
          <w:iCs/>
          <w:i/>
        </w:rPr>
        <w:t xml:space="preserve">Proceedings of the 2023 conference on empirical methods in natural language processing</w:t>
      </w:r>
      <w:r>
        <w:t xml:space="preserve">, Singapore: Association for Computational Linguistics, 2023, pp. 12076–12100. doi:</w:t>
      </w:r>
      <w:r>
        <w:t xml:space="preserve"> </w:t>
      </w:r>
      <w:hyperlink r:id="rId234">
        <w:r>
          <w:rPr>
            <w:rStyle w:val="Hyperlink"/>
          </w:rPr>
          <w:t xml:space="preserve">10.18653/v1/2023.emnlp-main.741</w:t>
        </w:r>
      </w:hyperlink>
      <w:r>
        <w:t xml:space="preserve">.</w:t>
      </w:r>
    </w:p>
    <w:bookmarkEnd w:id="235"/>
    <w:bookmarkStart w:id="237" w:name="ref-fabbri2021summeval"/>
    <w:p>
      <w:pPr>
        <w:pStyle w:val="Bibliography"/>
      </w:pPr>
      <w:r>
        <w:t xml:space="preserve">[22]</w:t>
      </w:r>
      <w:r>
        <w:t xml:space="preserve"> </w:t>
      </w:r>
      <w:r>
        <w:t xml:space="preserve">	</w:t>
      </w:r>
      <w:r>
        <w:t xml:space="preserve">A. R. Fabbri, W. Kryściński, B. McCann, C. Xiong, R. Socher, and D. Radev,</w:t>
      </w:r>
      <w:r>
        <w:t xml:space="preserve"> </w:t>
      </w:r>
      <w:r>
        <w:t xml:space="preserve">“</w:t>
      </w:r>
      <w:r>
        <w:t xml:space="preserve">SummEval</w:t>
      </w:r>
      <w:r>
        <w:t xml:space="preserve">: Re-evaluating summarization evaluation,”</w:t>
      </w:r>
      <w:r>
        <w:t xml:space="preserve"> </w:t>
      </w:r>
      <w:r>
        <w:rPr>
          <w:iCs/>
          <w:i/>
        </w:rPr>
        <w:t xml:space="preserve">Transactions of the Association for Computational Linguistics</w:t>
      </w:r>
      <w:r>
        <w:t xml:space="preserve">, vol. 9, pp. 391–409, 2021, doi:</w:t>
      </w:r>
      <w:r>
        <w:t xml:space="preserve"> </w:t>
      </w:r>
      <w:hyperlink r:id="rId236">
        <w:r>
          <w:rPr>
            <w:rStyle w:val="Hyperlink"/>
          </w:rPr>
          <w:t xml:space="preserve">10.1162/tacl_a_00373</w:t>
        </w:r>
      </w:hyperlink>
      <w:r>
        <w:t xml:space="preserve">.</w:t>
      </w:r>
    </w:p>
    <w:bookmarkEnd w:id="237"/>
    <w:bookmarkStart w:id="239" w:name="ref-liu2023geval"/>
    <w:p>
      <w:pPr>
        <w:pStyle w:val="Bibliography"/>
      </w:pPr>
      <w:r>
        <w:t xml:space="preserve">[23]</w:t>
      </w:r>
      <w:r>
        <w:t xml:space="preserve"> </w:t>
      </w:r>
      <w:r>
        <w:t xml:space="preserve">	</w:t>
      </w:r>
      <w:r>
        <w:t xml:space="preserve">Y. Liu, D. Iter, Y. Xu, S. Wang, R. Xu, and C. Zhu,</w:t>
      </w:r>
      <w:r>
        <w:t xml:space="preserve"> </w:t>
      </w:r>
      <w:r>
        <w:t xml:space="preserve">“</w:t>
      </w:r>
      <w:r>
        <w:t xml:space="preserve">G-Eval</w:t>
      </w:r>
      <w:r>
        <w:t xml:space="preserve">:</w:t>
      </w:r>
      <w:r>
        <w:t xml:space="preserve"> </w:t>
      </w:r>
      <w:r>
        <w:t xml:space="preserve">NLG</w:t>
      </w:r>
      <w:r>
        <w:t xml:space="preserve"> </w:t>
      </w:r>
      <w:r>
        <w:t xml:space="preserve">evaluation using</w:t>
      </w:r>
      <w:r>
        <w:t xml:space="preserve"> </w:t>
      </w:r>
      <w:r>
        <w:t xml:space="preserve">GPT-4</w:t>
      </w:r>
      <w:r>
        <w:t xml:space="preserve"> </w:t>
      </w:r>
      <w:r>
        <w:t xml:space="preserve">with better human alignment,”</w:t>
      </w:r>
      <w:r>
        <w:t xml:space="preserve"> </w:t>
      </w:r>
      <w:r>
        <w:t xml:space="preserve">in</w:t>
      </w:r>
      <w:r>
        <w:t xml:space="preserve"> </w:t>
      </w:r>
      <w:r>
        <w:rPr>
          <w:iCs/>
          <w:i/>
        </w:rPr>
        <w:t xml:space="preserve">Proceedings of the 2023 conference on empirical methods in natural language processing</w:t>
      </w:r>
      <w:r>
        <w:t xml:space="preserve">, Singapore: Association for Computational Linguistics, 2023, pp. 2511–2522. doi:</w:t>
      </w:r>
      <w:r>
        <w:t xml:space="preserve"> </w:t>
      </w:r>
      <w:hyperlink r:id="rId238">
        <w:r>
          <w:rPr>
            <w:rStyle w:val="Hyperlink"/>
          </w:rPr>
          <w:t xml:space="preserve">10.18653/v1/2023.emnlp-main.153</w:t>
        </w:r>
      </w:hyperlink>
      <w:r>
        <w:t xml:space="preserve">.</w:t>
      </w:r>
    </w:p>
    <w:bookmarkEnd w:id="239"/>
    <w:bookmarkStart w:id="240" w:name="ref-elyaniv2010selective"/>
    <w:p>
      <w:pPr>
        <w:pStyle w:val="Bibliography"/>
      </w:pPr>
      <w:r>
        <w:t xml:space="preserve">[24]</w:t>
      </w:r>
      <w:r>
        <w:t xml:space="preserve"> </w:t>
      </w:r>
      <w:r>
        <w:t xml:space="preserve">	</w:t>
      </w:r>
      <w:r>
        <w:t xml:space="preserve">R. El-Yaniv and Y. Wiener,</w:t>
      </w:r>
      <w:r>
        <w:t xml:space="preserve"> </w:t>
      </w:r>
      <w:r>
        <w:t xml:space="preserve">“On the foundations of noise-free selective classification,”</w:t>
      </w:r>
      <w:r>
        <w:t xml:space="preserve"> </w:t>
      </w:r>
      <w:r>
        <w:rPr>
          <w:iCs/>
          <w:i/>
        </w:rPr>
        <w:t xml:space="preserve">Journal of Machine Learning Research</w:t>
      </w:r>
      <w:r>
        <w:t xml:space="preserve">, vol. 11, no. 53, pp. 1605–1641, 2010.</w:t>
      </w:r>
    </w:p>
    <w:bookmarkEnd w:id="240"/>
    <w:bookmarkStart w:id="242" w:name="ref-beel2016researchpaper"/>
    <w:p>
      <w:pPr>
        <w:pStyle w:val="Bibliography"/>
      </w:pPr>
      <w:r>
        <w:t xml:space="preserve">[25]</w:t>
      </w:r>
      <w:r>
        <w:t xml:space="preserve"> </w:t>
      </w:r>
      <w:r>
        <w:t xml:space="preserve">	</w:t>
      </w:r>
      <w:r>
        <w:t xml:space="preserve">J. Beel, B. Gipp, S. Langer, and C. Breitinger,</w:t>
      </w:r>
      <w:r>
        <w:t xml:space="preserve"> </w:t>
      </w:r>
      <w:r>
        <w:t xml:space="preserve">“Research-paper recommender systems: A literature survey,”</w:t>
      </w:r>
      <w:r>
        <w:t xml:space="preserve"> </w:t>
      </w:r>
      <w:r>
        <w:rPr>
          <w:iCs/>
          <w:i/>
        </w:rPr>
        <w:t xml:space="preserve">International Journal on Digital Libraries</w:t>
      </w:r>
      <w:r>
        <w:t xml:space="preserve">, vol. 17, no. 4, pp. 305–338, 2016, doi:</w:t>
      </w:r>
      <w:r>
        <w:t xml:space="preserve"> </w:t>
      </w:r>
      <w:hyperlink r:id="rId241">
        <w:r>
          <w:rPr>
            <w:rStyle w:val="Hyperlink"/>
          </w:rPr>
          <w:t xml:space="preserve">10.1007/s00799-015-0156-0</w:t>
        </w:r>
      </w:hyperlink>
      <w:r>
        <w:t xml:space="preserve">.</w:t>
      </w:r>
    </w:p>
    <w:bookmarkEnd w:id="242"/>
    <w:bookmarkStart w:id="244" w:name="ref-sugiyama2010scholarly"/>
    <w:p>
      <w:pPr>
        <w:pStyle w:val="Bibliography"/>
      </w:pPr>
      <w:r>
        <w:t xml:space="preserve">[26]</w:t>
      </w:r>
      <w:r>
        <w:t xml:space="preserve"> </w:t>
      </w:r>
      <w:r>
        <w:t xml:space="preserve">	</w:t>
      </w:r>
      <w:r>
        <w:t xml:space="preserve">K. Sugiyama and M.-Y. Kan,</w:t>
      </w:r>
      <w:r>
        <w:t xml:space="preserve"> </w:t>
      </w:r>
      <w:r>
        <w:t xml:space="preserve">“Scholarly paper recommendation via user’s recent research interests,”</w:t>
      </w:r>
      <w:r>
        <w:t xml:space="preserve"> </w:t>
      </w:r>
      <w:r>
        <w:t xml:space="preserve">in</w:t>
      </w:r>
      <w:r>
        <w:t xml:space="preserve"> </w:t>
      </w:r>
      <w:r>
        <w:rPr>
          <w:iCs/>
          <w:i/>
        </w:rPr>
        <w:t xml:space="preserve">Proceedings of the 10th annual joint conference on digital libraries</w:t>
      </w:r>
      <w:r>
        <w:t xml:space="preserve">, New York, NY, USA: ACM, 2010, pp. 29–38. doi:</w:t>
      </w:r>
      <w:r>
        <w:t xml:space="preserve"> </w:t>
      </w:r>
      <w:hyperlink r:id="rId243">
        <w:r>
          <w:rPr>
            <w:rStyle w:val="Hyperlink"/>
          </w:rPr>
          <w:t xml:space="preserve">10.1145/1816123.1816129</w:t>
        </w:r>
      </w:hyperlink>
      <w:r>
        <w:t xml:space="preserve">.</w:t>
      </w:r>
    </w:p>
    <w:bookmarkEnd w:id="244"/>
    <w:bookmarkStart w:id="246" w:name="ref-herlocker2004evaluating"/>
    <w:p>
      <w:pPr>
        <w:pStyle w:val="Bibliography"/>
      </w:pPr>
      <w:r>
        <w:t xml:space="preserve">[27]</w:t>
      </w:r>
      <w:r>
        <w:t xml:space="preserve"> </w:t>
      </w:r>
      <w:r>
        <w:t xml:space="preserve">	</w:t>
      </w:r>
      <w:r>
        <w:t xml:space="preserve">J. L. Herlocker, J. A. Konstan, L. G. Terveen, and J. T. Riedl,</w:t>
      </w:r>
      <w:r>
        <w:t xml:space="preserve"> </w:t>
      </w:r>
      <w:r>
        <w:t xml:space="preserve">“Evaluating collaborative filtering recommender systems,”</w:t>
      </w:r>
      <w:r>
        <w:t xml:space="preserve"> </w:t>
      </w:r>
      <w:r>
        <w:rPr>
          <w:iCs/>
          <w:i/>
        </w:rPr>
        <w:t xml:space="preserve">ACM Transactions on Information Systems</w:t>
      </w:r>
      <w:r>
        <w:t xml:space="preserve">, vol. 22, no. 1, pp. 5–53, 2004, doi:</w:t>
      </w:r>
      <w:r>
        <w:t xml:space="preserve"> </w:t>
      </w:r>
      <w:hyperlink r:id="rId245">
        <w:r>
          <w:rPr>
            <w:rStyle w:val="Hyperlink"/>
          </w:rPr>
          <w:t xml:space="preserve">10.1145/963770.963772</w:t>
        </w:r>
      </w:hyperlink>
      <w:r>
        <w:t xml:space="preserve">.</w:t>
      </w:r>
    </w:p>
    <w:bookmarkEnd w:id="246"/>
    <w:bookmarkStart w:id="248" w:name="ref-amershi2019guidelines"/>
    <w:p>
      <w:pPr>
        <w:pStyle w:val="Bibliography"/>
      </w:pPr>
      <w:r>
        <w:t xml:space="preserve">[28]</w:t>
      </w:r>
      <w:r>
        <w:t xml:space="preserve"> </w:t>
      </w:r>
      <w:r>
        <w:t xml:space="preserve">	</w:t>
      </w:r>
      <w:r>
        <w:t xml:space="preserve">S. Amershi</w:t>
      </w:r>
      <w:r>
        <w:t xml:space="preserve"> </w:t>
      </w:r>
      <w:r>
        <w:rPr>
          <w:iCs/>
          <w:i/>
        </w:rPr>
        <w:t xml:space="preserve">et al.</w:t>
      </w:r>
      <w:r>
        <w:t xml:space="preserve">,</w:t>
      </w:r>
      <w:r>
        <w:t xml:space="preserve"> </w:t>
      </w:r>
      <w:r>
        <w:t xml:space="preserve">“Guidelines for human–AI interaction,”</w:t>
      </w:r>
      <w:r>
        <w:t xml:space="preserve"> </w:t>
      </w:r>
      <w:r>
        <w:t xml:space="preserve">in</w:t>
      </w:r>
      <w:r>
        <w:t xml:space="preserve"> </w:t>
      </w:r>
      <w:r>
        <w:rPr>
          <w:iCs/>
          <w:i/>
        </w:rPr>
        <w:t xml:space="preserve">Proceedings of the 2019 CHI conference on human factors in computing systems</w:t>
      </w:r>
      <w:r>
        <w:t xml:space="preserve">, 2019, pp. 1–13. doi:</w:t>
      </w:r>
      <w:r>
        <w:t xml:space="preserve"> </w:t>
      </w:r>
      <w:hyperlink r:id="rId247">
        <w:r>
          <w:rPr>
            <w:rStyle w:val="Hyperlink"/>
          </w:rPr>
          <w:t xml:space="preserve">10.1145/3290605.3300233</w:t>
        </w:r>
      </w:hyperlink>
      <w:r>
        <w:t xml:space="preserve">.</w:t>
      </w:r>
    </w:p>
    <w:bookmarkEnd w:id="248"/>
    <w:bookmarkStart w:id="250" w:name="ref-amershi2014power"/>
    <w:p>
      <w:pPr>
        <w:pStyle w:val="Bibliography"/>
      </w:pPr>
      <w:r>
        <w:t xml:space="preserve">[29]</w:t>
      </w:r>
      <w:r>
        <w:t xml:space="preserve"> </w:t>
      </w:r>
      <w:r>
        <w:t xml:space="preserve">	</w:t>
      </w:r>
      <w:r>
        <w:t xml:space="preserve">S. Amershi, M. Cakmak, W. B. Knox, and T. Kulesza,</w:t>
      </w:r>
      <w:r>
        <w:t xml:space="preserve"> </w:t>
      </w:r>
      <w:r>
        <w:t xml:space="preserve">“Power to the people: The role of humans in interactive machine learning,”</w:t>
      </w:r>
      <w:r>
        <w:t xml:space="preserve"> </w:t>
      </w:r>
      <w:r>
        <w:rPr>
          <w:iCs/>
          <w:i/>
        </w:rPr>
        <w:t xml:space="preserve">AI Magazine</w:t>
      </w:r>
      <w:r>
        <w:t xml:space="preserve">, vol. 35, no. 4, pp. 105–120, 2014, doi:</w:t>
      </w:r>
      <w:r>
        <w:t xml:space="preserve"> </w:t>
      </w:r>
      <w:hyperlink r:id="rId249">
        <w:r>
          <w:rPr>
            <w:rStyle w:val="Hyperlink"/>
          </w:rPr>
          <w:t xml:space="preserve">10.1609/aimag.v35i4.2513</w:t>
        </w:r>
      </w:hyperlink>
      <w:r>
        <w:t xml:space="preserve">.</w:t>
      </w:r>
    </w:p>
    <w:bookmarkEnd w:id="250"/>
    <w:bookmarkStart w:id="252" w:name="ref-blei2003lda"/>
    <w:p>
      <w:pPr>
        <w:pStyle w:val="Bibliography"/>
      </w:pPr>
      <w:r>
        <w:t xml:space="preserve">[30]</w:t>
      </w:r>
      <w:r>
        <w:t xml:space="preserve"> </w:t>
      </w:r>
      <w:r>
        <w:t xml:space="preserve">	</w:t>
      </w:r>
      <w:r>
        <w:t xml:space="preserve">D. M. Blei, A. Y. Ng, and M. I. Jordan,</w:t>
      </w:r>
      <w:r>
        <w:t xml:space="preserve"> </w:t>
      </w:r>
      <w:r>
        <w:t xml:space="preserve">“Latent dirichlet allocation,”</w:t>
      </w:r>
      <w:r>
        <w:t xml:space="preserve"> </w:t>
      </w:r>
      <w:r>
        <w:rPr>
          <w:iCs/>
          <w:i/>
        </w:rPr>
        <w:t xml:space="preserve">Journal of Machine Learning Research</w:t>
      </w:r>
      <w:r>
        <w:t xml:space="preserve">, vol. 3, pp. 993–1022, 2003, Available:</w:t>
      </w:r>
      <w:r>
        <w:t xml:space="preserve"> </w:t>
      </w:r>
      <w:hyperlink r:id="rId251">
        <w:r>
          <w:rPr>
            <w:rStyle w:val="Hyperlink"/>
          </w:rPr>
          <w:t xml:space="preserve">https://www.jmlr.org/papers/v3/blei03a.html</w:t>
        </w:r>
      </w:hyperlink>
    </w:p>
    <w:bookmarkEnd w:id="252"/>
    <w:bookmarkStart w:id="254" w:name="ref-grootendorst2022bertopic"/>
    <w:p>
      <w:pPr>
        <w:pStyle w:val="Bibliography"/>
      </w:pPr>
      <w:r>
        <w:t xml:space="preserve">[31]</w:t>
      </w:r>
      <w:r>
        <w:t xml:space="preserve"> </w:t>
      </w:r>
      <w:r>
        <w:t xml:space="preserve">	</w:t>
      </w:r>
      <w:r>
        <w:t xml:space="preserve">M. Grootendorst,</w:t>
      </w:r>
      <w:r>
        <w:t xml:space="preserve"> </w:t>
      </w:r>
      <w:r>
        <w:t xml:space="preserve">“</w:t>
      </w:r>
      <w:r>
        <w:t xml:space="preserve">BERTopic</w:t>
      </w:r>
      <w:r>
        <w:t xml:space="preserve">: Neural topic modeling with a class-based</w:t>
      </w:r>
      <w:r>
        <w:t xml:space="preserve"> </w:t>
      </w:r>
      <w:r>
        <w:t xml:space="preserve">TF-IDF</w:t>
      </w:r>
      <w:r>
        <w:t xml:space="preserve"> </w:t>
      </w:r>
      <w:r>
        <w:t xml:space="preserve">procedure,”</w:t>
      </w:r>
      <w:r>
        <w:t xml:space="preserve"> </w:t>
      </w:r>
      <w:r>
        <w:rPr>
          <w:iCs/>
          <w:i/>
        </w:rPr>
        <w:t xml:space="preserve">arXiv preprint arXiv:2203.05794</w:t>
      </w:r>
      <w:r>
        <w:t xml:space="preserve">, 2022, doi:</w:t>
      </w:r>
      <w:r>
        <w:t xml:space="preserve"> </w:t>
      </w:r>
      <w:hyperlink r:id="rId253">
        <w:r>
          <w:rPr>
            <w:rStyle w:val="Hyperlink"/>
          </w:rPr>
          <w:t xml:space="preserve">10.48550/arXiv.2203.05794</w:t>
        </w:r>
      </w:hyperlink>
      <w:r>
        <w:t xml:space="preserve">.</w:t>
      </w:r>
    </w:p>
    <w:bookmarkEnd w:id="254"/>
    <w:bookmarkStart w:id="256" w:name="ref-doogan2021topic"/>
    <w:p>
      <w:pPr>
        <w:pStyle w:val="Bibliography"/>
      </w:pPr>
      <w:r>
        <w:t xml:space="preserve">[32]</w:t>
      </w:r>
      <w:r>
        <w:t xml:space="preserve"> </w:t>
      </w:r>
      <w:r>
        <w:t xml:space="preserve">	</w:t>
      </w:r>
      <w:r>
        <w:t xml:space="preserve">C. Doogan and W. Buntine,</w:t>
      </w:r>
      <w:r>
        <w:t xml:space="preserve"> </w:t>
      </w:r>
      <w:r>
        <w:t xml:space="preserve">“Topic model or topic twaddle? Re-evaluating semantic interpretability measures,”</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Online: Association for Computational Linguistics, 2021, pp. 3824–3848. doi:</w:t>
      </w:r>
      <w:r>
        <w:t xml:space="preserve"> </w:t>
      </w:r>
      <w:hyperlink r:id="rId255">
        <w:r>
          <w:rPr>
            <w:rStyle w:val="Hyperlink"/>
          </w:rPr>
          <w:t xml:space="preserve">10.18653/v1/2021.naacl-main.300</w:t>
        </w:r>
      </w:hyperlink>
      <w:r>
        <w:t xml:space="preserve">.</w:t>
      </w:r>
    </w:p>
    <w:bookmarkEnd w:id="256"/>
    <w:bookmarkStart w:id="258" w:name="ref-balog2006formal"/>
    <w:p>
      <w:pPr>
        <w:pStyle w:val="Bibliography"/>
      </w:pPr>
      <w:r>
        <w:t xml:space="preserve">[33]</w:t>
      </w:r>
      <w:r>
        <w:t xml:space="preserve"> </w:t>
      </w:r>
      <w:r>
        <w:t xml:space="preserve">	</w:t>
      </w:r>
      <w:r>
        <w:t xml:space="preserve">K. Balog, L. Azzopardi, and M. de Rijke,</w:t>
      </w:r>
      <w:r>
        <w:t xml:space="preserve"> </w:t>
      </w:r>
      <w:r>
        <w:t xml:space="preserve">“Formal models for expert finding in enterprise corpora,”</w:t>
      </w:r>
      <w:r>
        <w:t xml:space="preserve"> </w:t>
      </w:r>
      <w:r>
        <w:t xml:space="preserve">in</w:t>
      </w:r>
      <w:r>
        <w:t xml:space="preserve"> </w:t>
      </w:r>
      <w:r>
        <w:rPr>
          <w:iCs/>
          <w:i/>
        </w:rPr>
        <w:t xml:space="preserve">Proceedings of the 29th annual international ACM SIGIR conference on research and development in information retrieval</w:t>
      </w:r>
      <w:r>
        <w:t xml:space="preserve">, New York, NY, USA: ACM, 2006, pp. 43–50. doi:</w:t>
      </w:r>
      <w:r>
        <w:t xml:space="preserve"> </w:t>
      </w:r>
      <w:hyperlink r:id="rId257">
        <w:r>
          <w:rPr>
            <w:rStyle w:val="Hyperlink"/>
          </w:rPr>
          <w:t xml:space="preserve">10.1145/1148170.1148181</w:t>
        </w:r>
      </w:hyperlink>
      <w:r>
        <w:t xml:space="preserve">.</w:t>
      </w:r>
    </w:p>
    <w:bookmarkEnd w:id="258"/>
    <w:bookmarkStart w:id="260" w:name="ref-balog2009language"/>
    <w:p>
      <w:pPr>
        <w:pStyle w:val="Bibliography"/>
      </w:pPr>
      <w:r>
        <w:t xml:space="preserve">[34]</w:t>
      </w:r>
      <w:r>
        <w:t xml:space="preserve"> </w:t>
      </w:r>
      <w:r>
        <w:t xml:space="preserve">	</w:t>
      </w:r>
      <w:r>
        <w:t xml:space="preserve">K. Balog, L. Azzopardi, and M. de Rijke,</w:t>
      </w:r>
      <w:r>
        <w:t xml:space="preserve"> </w:t>
      </w:r>
      <w:r>
        <w:t xml:space="preserve">“A language modeling framework for expert finding,”</w:t>
      </w:r>
      <w:r>
        <w:t xml:space="preserve"> </w:t>
      </w:r>
      <w:r>
        <w:rPr>
          <w:iCs/>
          <w:i/>
        </w:rPr>
        <w:t xml:space="preserve">Information Processing &amp; Management</w:t>
      </w:r>
      <w:r>
        <w:t xml:space="preserve">, vol. 45, no. 1, pp. 1–19, 2009, doi:</w:t>
      </w:r>
      <w:r>
        <w:t xml:space="preserve"> </w:t>
      </w:r>
      <w:hyperlink r:id="rId259">
        <w:r>
          <w:rPr>
            <w:rStyle w:val="Hyperlink"/>
          </w:rPr>
          <w:t xml:space="preserve">10.1016/j.ipm.2008.06.003</w:t>
        </w:r>
      </w:hyperlink>
      <w:r>
        <w:t xml:space="preserve">.</w:t>
      </w:r>
    </w:p>
    <w:bookmarkEnd w:id="260"/>
    <w:bookmarkStart w:id="262" w:name="ref-gebru2021datasheets"/>
    <w:p>
      <w:pPr>
        <w:pStyle w:val="Bibliography"/>
      </w:pPr>
      <w:r>
        <w:t xml:space="preserve">[35]</w:t>
      </w:r>
      <w:r>
        <w:t xml:space="preserve"> </w:t>
      </w:r>
      <w:r>
        <w:t xml:space="preserve">	</w:t>
      </w:r>
      <w:r>
        <w:t xml:space="preserve">T. Gebru</w:t>
      </w:r>
      <w:r>
        <w:t xml:space="preserve"> </w:t>
      </w:r>
      <w:r>
        <w:rPr>
          <w:iCs/>
          <w:i/>
        </w:rPr>
        <w:t xml:space="preserve">et al.</w:t>
      </w:r>
      <w:r>
        <w:t xml:space="preserve">,</w:t>
      </w:r>
      <w:r>
        <w:t xml:space="preserve"> </w:t>
      </w:r>
      <w:r>
        <w:t xml:space="preserve">“Datasheets for datasets,”</w:t>
      </w:r>
      <w:r>
        <w:t xml:space="preserve"> </w:t>
      </w:r>
      <w:r>
        <w:rPr>
          <w:iCs/>
          <w:i/>
        </w:rPr>
        <w:t xml:space="preserve">Communications of the ACM</w:t>
      </w:r>
      <w:r>
        <w:t xml:space="preserve">, vol. 64, no. 12, pp. 86–92, 2021, doi:</w:t>
      </w:r>
      <w:r>
        <w:t xml:space="preserve"> </w:t>
      </w:r>
      <w:hyperlink r:id="rId261">
        <w:r>
          <w:rPr>
            <w:rStyle w:val="Hyperlink"/>
          </w:rPr>
          <w:t xml:space="preserve">10.1145/3458723</w:t>
        </w:r>
      </w:hyperlink>
      <w:r>
        <w:t xml:space="preserve">.</w:t>
      </w:r>
    </w:p>
    <w:bookmarkEnd w:id="262"/>
    <w:bookmarkStart w:id="264" w:name="ref-mitchell2019modelcards"/>
    <w:p>
      <w:pPr>
        <w:pStyle w:val="Bibliography"/>
      </w:pPr>
      <w:r>
        <w:t xml:space="preserve">[36]</w:t>
      </w:r>
      <w:r>
        <w:t xml:space="preserve"> </w:t>
      </w:r>
      <w:r>
        <w:t xml:space="preserve">	</w:t>
      </w:r>
      <w:r>
        <w:t xml:space="preserve">M. Mitchell</w:t>
      </w:r>
      <w:r>
        <w:t xml:space="preserve"> </w:t>
      </w:r>
      <w:r>
        <w:rPr>
          <w:iCs/>
          <w:i/>
        </w:rPr>
        <w:t xml:space="preserve">et al.</w:t>
      </w:r>
      <w:r>
        <w:t xml:space="preserve">,</w:t>
      </w:r>
      <w:r>
        <w:t xml:space="preserve"> </w:t>
      </w:r>
      <w:r>
        <w:t xml:space="preserve">“Model cards for model reporting,”</w:t>
      </w:r>
      <w:r>
        <w:t xml:space="preserve"> </w:t>
      </w:r>
      <w:r>
        <w:t xml:space="preserve">in</w:t>
      </w:r>
      <w:r>
        <w:t xml:space="preserve"> </w:t>
      </w:r>
      <w:r>
        <w:rPr>
          <w:iCs/>
          <w:i/>
        </w:rPr>
        <w:t xml:space="preserve">Proceedings of the conference on fairness, accountability, and transparency</w:t>
      </w:r>
      <w:r>
        <w:t xml:space="preserve">, New York, NY, USA: ACM, 2019, pp. 220–229. doi:</w:t>
      </w:r>
      <w:r>
        <w:t xml:space="preserve"> </w:t>
      </w:r>
      <w:hyperlink r:id="rId263">
        <w:r>
          <w:rPr>
            <w:rStyle w:val="Hyperlink"/>
          </w:rPr>
          <w:t xml:space="preserve">10.1145/3287560.3287596</w:t>
        </w:r>
      </w:hyperlink>
      <w:r>
        <w:t xml:space="preserve">.</w:t>
      </w:r>
    </w:p>
    <w:bookmarkEnd w:id="264"/>
    <w:bookmarkStart w:id="266" w:name="ref-weidinger2022taxonomy"/>
    <w:p>
      <w:pPr>
        <w:pStyle w:val="Bibliography"/>
      </w:pPr>
      <w:r>
        <w:t xml:space="preserve">[37]</w:t>
      </w:r>
      <w:r>
        <w:t xml:space="preserve"> </w:t>
      </w:r>
      <w:r>
        <w:t xml:space="preserve">	</w:t>
      </w:r>
      <w:r>
        <w:t xml:space="preserve">L. Weidinger</w:t>
      </w:r>
      <w:r>
        <w:t xml:space="preserve"> </w:t>
      </w:r>
      <w:r>
        <w:rPr>
          <w:iCs/>
          <w:i/>
        </w:rPr>
        <w:t xml:space="preserve">et al.</w:t>
      </w:r>
      <w:r>
        <w:t xml:space="preserve">,</w:t>
      </w:r>
      <w:r>
        <w:t xml:space="preserve"> </w:t>
      </w:r>
      <w:r>
        <w:t xml:space="preserve">“Taxonomy of risks posed by language models,”</w:t>
      </w:r>
      <w:r>
        <w:t xml:space="preserve"> </w:t>
      </w:r>
      <w:r>
        <w:t xml:space="preserve">in</w:t>
      </w:r>
      <w:r>
        <w:t xml:space="preserve"> </w:t>
      </w:r>
      <w:r>
        <w:rPr>
          <w:iCs/>
          <w:i/>
        </w:rPr>
        <w:t xml:space="preserve">Proceedings of the 2022 ACM conference on fairness, accountability, and transparency</w:t>
      </w:r>
      <w:r>
        <w:t xml:space="preserve">, New York, NY, USA: ACM, 2022, pp. 214–229. doi:</w:t>
      </w:r>
      <w:r>
        <w:t xml:space="preserve"> </w:t>
      </w:r>
      <w:hyperlink r:id="rId265">
        <w:r>
          <w:rPr>
            <w:rStyle w:val="Hyperlink"/>
          </w:rPr>
          <w:t xml:space="preserve">10.1145/3531146.3533088</w:t>
        </w:r>
      </w:hyperlink>
      <w:r>
        <w:t xml:space="preserve">.</w:t>
      </w:r>
    </w:p>
    <w:bookmarkEnd w:id="266"/>
    <w:bookmarkStart w:id="268" w:name="ref-tabassi2023airmf"/>
    <w:p>
      <w:pPr>
        <w:pStyle w:val="Bibliography"/>
      </w:pPr>
      <w:r>
        <w:t xml:space="preserve">[38]</w:t>
      </w:r>
      <w:r>
        <w:t xml:space="preserve"> </w:t>
      </w:r>
      <w:r>
        <w:t xml:space="preserve">	</w:t>
      </w:r>
      <w:r>
        <w:t xml:space="preserve">E. Tabassi,</w:t>
      </w:r>
      <w:r>
        <w:t xml:space="preserve"> </w:t>
      </w:r>
      <w:r>
        <w:t xml:space="preserve">“Artificial intelligence risk management framework (</w:t>
      </w:r>
      <w:r>
        <w:t xml:space="preserve">AI RMF</w:t>
      </w:r>
      <w:r>
        <w:t xml:space="preserve"> </w:t>
      </w:r>
      <w:r>
        <w:t xml:space="preserve">1.0),”</w:t>
      </w:r>
      <w:r>
        <w:t xml:space="preserve"> </w:t>
      </w:r>
      <w:r>
        <w:t xml:space="preserve">National Institute of Standards; Technology, Gaithersburg, MD, USA, NIST AI 100-1, Jan. 2023. doi:</w:t>
      </w:r>
      <w:r>
        <w:t xml:space="preserve"> </w:t>
      </w:r>
      <w:hyperlink r:id="rId267">
        <w:r>
          <w:rPr>
            <w:rStyle w:val="Hyperlink"/>
          </w:rPr>
          <w:t xml:space="preserve">10.6028/NIST.AI.100-1</w:t>
        </w:r>
      </w:hyperlink>
      <w:r>
        <w:t xml:space="preserve">.</w:t>
      </w:r>
    </w:p>
    <w:bookmarkEnd w:id="268"/>
    <w:bookmarkEnd w:id="269"/>
    <w:bookmarkEnd w:id="270"/>
    <w:sectPr>
      <w:headerReference w:type="default" r:id="rId268"/>
      <w:footerReference w:type="default" r:id="rId269"/>
      <w:pgSz w:h="16838" w:w="11906"/>
      <w:pgMar w:bottom="1587" w:footer="720" w:gutter="0" w:header="720" w:left="1587" w:right="1587" w:top="1587"/>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center"/>
    </w:pPr>
    <w:r>
      <w:rPr>
        <w:color w:val="526273"/>
        <w:sz w:val="18"/>
      </w:rPr>
      <w:t>TTLAB Research Intelligence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w="http://schemas.openxmlformats.org/wordprocessingml/2006/main">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szCs w:val="24"/>
    </w:rPr>
    <w:pPr>
      <w:jc w:val="both"/>
      <w:spacing w:after="120" w:line="360" w:lineRule="auto"/>
    </w:p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szCs w:val="24"/>
    </w:rPr>
  </w:style>
  <w:style w:customStyle="1" w:styleId="FirstParagraph" w:type="paragraph">
    <w:name w:val="First Paragraph"/>
    <w:basedOn w:val="BodyText"/>
    <w:next w:val="BodyText"/>
    <w:qFormat/>
    <w:rPr>
      <w:rFonts w:ascii="Times New Roman" w:cs="Times New Roman" w:eastAsia="Times New Roman" w:hAnsi="Times New Roman"/>
      <w:sz w:val="24"/>
      <w:szCs w:val="24"/>
    </w:rPr>
    <w:pPr>
      <w:jc w:val="both"/>
      <w:spacing w:after="120" w:line="360" w:lineRule="auto"/>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360"/>
      <w:jc w:val="center"/>
    </w:pPr>
    <w:rPr>
      <w:rFonts w:ascii="Times New Roman" w:asciiTheme="majorHAnsi" w:cs="Times New Roman" w:cstheme="majorBidi" w:eastAsia="Times New Roman" w:eastAsiaTheme="majorEastAsia" w:hAnsi="Times New Roman" w:hAnsiTheme="majorHAnsi"/>
      <w:b/>
      <w:bCs/>
      <w:color w:themeColor="accent1" w:themeShade="B5" w:val="16324F"/>
      <w:sz w:val="40"/>
      <w:szCs w:val="40"/>
    </w:rPr>
  </w:style>
  <w:style w:styleId="Subtitle" w:type="paragraph">
    <w:name w:val="Subtitle"/>
    <w:basedOn w:val="Title"/>
    <w:next w:val="BodyText"/>
    <w:qFormat/>
    <w:pPr>
      <w:keepNext/>
      <w:keepLines/>
      <w:spacing w:after="180" w:before="240"/>
      <w:jc w:val="center"/>
    </w:pPr>
    <w:rPr>
      <w:sz w:val="28"/>
      <w:szCs w:val="28"/>
      <w:rFonts w:ascii="Times New Roman" w:cs="Times New Roman" w:eastAsia="Times New Roman" w:hAnsi="Times New Roman"/>
      <w:color w:val="526273"/>
    </w:rPr>
  </w:style>
  <w:style w:customStyle="1" w:styleId="Author" w:type="paragraph">
    <w:name w:val="Author"/>
    <w:next w:val="BodyText"/>
    <w:qFormat/>
    <w:pPr>
      <w:keepNext/>
      <w:keepLines/>
      <w:jc w:val="center"/>
      <w:spacing/>
    </w:pPr>
    <w:rPr>
      <w:rFonts w:ascii="Times New Roman" w:cs="Times New Roman" w:eastAsia="Times New Roman" w:hAnsi="Times New Roman"/>
      <w:sz w:val="28"/>
      <w:szCs w:val="28"/>
      <w:b/>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jc w:val="left"/>
      <w:spacing w:after="90" w:line="240" w:lineRule="auto"/>
    </w:pPr>
    <w:rPr>
      <w:rFonts w:ascii="Times New Roman" w:cs="Times New Roman" w:eastAsia="Times New Roman" w:hAnsi="Times New Roman"/>
      <w:sz w:val="20"/>
      <w:szCs w:val="20"/>
    </w:rPr>
  </w:style>
  <w:style w:styleId="Heading1" w:type="paragraph">
    <w:name w:val="Heading 1"/>
    <w:basedOn w:val="Normal"/>
    <w:next w:val="BodyText"/>
    <w:uiPriority w:val="9"/>
    <w:qFormat/>
    <w:pPr>
      <w:keepNext/>
      <w:keepLines/>
      <w:spacing w:after="180" w:before="360"/>
      <w:outlineLvl w:val="0"/>
      <w:pageBreakBefore/>
    </w:pPr>
    <w:rPr>
      <w:rFonts w:ascii="Times New Roman" w:asciiTheme="majorHAnsi" w:cs="Times New Roman" w:cstheme="majorBidi" w:eastAsia="Times New Roman" w:eastAsiaTheme="majorEastAsia" w:hAnsi="Times New Roman" w:hAnsiTheme="majorHAnsi"/>
      <w:b/>
      <w:bCs/>
      <w:color w:themeColor="accent1" w:val="16324F"/>
      <w:sz w:val="32"/>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asciiTheme="majorHAnsi" w:cs="Times New Roman" w:cstheme="majorBidi" w:eastAsia="Times New Roman" w:eastAsiaTheme="majorEastAsia" w:hAnsi="Times New Roman" w:hAnsiTheme="majorHAnsi"/>
      <w:b/>
      <w:bCs/>
      <w:color w:themeColor="accent1" w:val="16324F"/>
      <w:sz w:val="28"/>
      <w:szCs w:val="28"/>
    </w:rPr>
  </w:style>
  <w:style w:styleId="Heading3" w:type="paragraph">
    <w:name w:val="Heading 3"/>
    <w:basedOn w:val="Normal"/>
    <w:next w:val="BodyText"/>
    <w:uiPriority w:val="9"/>
    <w:unhideWhenUsed/>
    <w:qFormat/>
    <w:pPr>
      <w:keepNext/>
      <w:keepLines/>
      <w:spacing w:after="90" w:before="180"/>
      <w:outlineLvl w:val="2"/>
    </w:pPr>
    <w:rPr>
      <w:rFonts w:ascii="Times New Roman" w:asciiTheme="majorHAnsi" w:cs="Times New Roman" w:cstheme="majorBidi" w:eastAsia="Times New Roman" w:eastAsiaTheme="majorEastAsia" w:hAnsi="Times New Roman" w:hAnsiTheme="majorHAnsi"/>
      <w:b/>
      <w:bCs/>
      <w:color w:themeColor="accent1" w:val="526273"/>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30" w:line="240" w:lineRule="auto"/>
    </w:pPr>
    <w:rPr>
      <w:b/>
      <w:rFonts w:ascii="Times New Roman" w:cs="Times New Roman" w:eastAsia="Times New Roman" w:hAnsi="Times New Roman"/>
      <w:sz w:val="20"/>
      <w:szCs w:val="20"/>
    </w:rPr>
  </w:style>
  <w:style w:customStyle="1" w:styleId="Definition" w:type="paragraph">
    <w:name w:val="Definition"/>
    <w:basedOn w:val="Normal"/>
    <w:rPr>
      <w:rFonts w:ascii="Times New Roman" w:cs="Times New Roman" w:eastAsia="Times New Roman" w:hAnsi="Times New Roman"/>
      <w:sz w:val="20"/>
      <w:szCs w:val="20"/>
    </w:rPr>
    <w:pPr>
      <w:spacing w:after="30" w:before="0" w:line="240" w:lineRule="auto"/>
    </w:pPr>
  </w:style>
  <w:style w:styleId="Caption" w:type="paragraph">
    <w:name w:val="Caption"/>
    <w:basedOn w:val="Normal"/>
    <w:link w:val="BodyTextChar"/>
    <w:pPr>
      <w:spacing w:after="150" w:before="90"/>
      <w:jc w:val="center"/>
    </w:pPr>
    <w:rPr>
      <w:i/>
      <w:rFonts w:ascii="Times New Roman" w:cs="Times New Roman" w:eastAsia="Times New Roman" w:hAnsi="Times New Roman"/>
      <w:sz w:val="20"/>
      <w:szCs w:val="20"/>
    </w:rPr>
  </w:style>
  <w:style w:customStyle="1" w:styleId="TableCaption" w:type="paragraph">
    <w:name w:val="Table Caption"/>
    <w:basedOn w:val="Caption"/>
    <w:pPr>
      <w:keepNext/>
      <w:jc w:val="center"/>
      <w:spacing w:after="150" w:before="90"/>
    </w:pPr>
    <w:rPr>
      <w:rFonts w:ascii="Times New Roman" w:cs="Times New Roman" w:eastAsia="Times New Roman" w:hAnsi="Times New Roman"/>
      <w:sz w:val="20"/>
      <w:szCs w:val="20"/>
      <w:i/>
    </w:rPr>
  </w:style>
  <w:style w:customStyle="1" w:styleId="ImageCaption" w:type="paragraph">
    <w:name w:val="Image Caption"/>
    <w:basedOn w:val="Caption"/>
    <w:rPr>
      <w:rFonts w:ascii="Times New Roman" w:cs="Times New Roman" w:eastAsia="Times New Roman" w:hAnsi="Times New Roman"/>
      <w:sz w:val="20"/>
      <w:szCs w:val="20"/>
      <w:i/>
    </w:rPr>
    <w:pPr>
      <w:jc w:val="center"/>
      <w:spacing w:after="150" w:before="9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szCs w:val="18"/>
    </w:rPr>
    <w:pPr>
      <w:jc w:val="left"/>
      <w:spacing w:line="240" w:lineRule="auto"/>
    </w:p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jc w:val="left"/>
      <w:spacing w:line="240" w:lineRule="auto"/>
    </w:pPr>
    <w:rPr>
      <w:rFonts w:ascii="Consolas" w:hAnsi="Consolas" w:eastAsia="Consolas" w:cs="Consolas"/>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96" Target="media/rId96.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90" Target="media/rId90.png" /><Relationship Type="http://schemas.openxmlformats.org/officeDocument/2006/relationships/hyperlink" Id="rId241" Target="https://doi.org/10.1007/s00799-015-0156-0" TargetMode="External" /><Relationship Type="http://schemas.openxmlformats.org/officeDocument/2006/relationships/hyperlink" Id="rId259" Target="https://doi.org/10.1016/j.ipm.2008.06.003" TargetMode="External" /><Relationship Type="http://schemas.openxmlformats.org/officeDocument/2006/relationships/hyperlink" Id="rId224" Target="https://doi.org/10.1023/A:1021240730564" TargetMode="External" /><Relationship Type="http://schemas.openxmlformats.org/officeDocument/2006/relationships/hyperlink" Id="rId194" Target="https://doi.org/10.1109/RTSI64020.2025.11212505" TargetMode="External" /><Relationship Type="http://schemas.openxmlformats.org/officeDocument/2006/relationships/hyperlink" Id="rId257" Target="https://doi.org/10.1145/1148170.1148181" TargetMode="External" /><Relationship Type="http://schemas.openxmlformats.org/officeDocument/2006/relationships/hyperlink" Id="rId198" Target="https://doi.org/10.1145/1401890.1402008" TargetMode="External" /><Relationship Type="http://schemas.openxmlformats.org/officeDocument/2006/relationships/hyperlink" Id="rId214" Target="https://doi.org/10.1145/1553374.1553516" TargetMode="External" /><Relationship Type="http://schemas.openxmlformats.org/officeDocument/2006/relationships/hyperlink" Id="rId243" Target="https://doi.org/10.1145/1816123.1816129" TargetMode="External" /><Relationship Type="http://schemas.openxmlformats.org/officeDocument/2006/relationships/hyperlink" Id="rId196" Target="https://doi.org/10.1145/276675.276685" TargetMode="External" /><Relationship Type="http://schemas.openxmlformats.org/officeDocument/2006/relationships/hyperlink" Id="rId263" Target="https://doi.org/10.1145/3287560.3287596" TargetMode="External" /><Relationship Type="http://schemas.openxmlformats.org/officeDocument/2006/relationships/hyperlink" Id="rId247" Target="https://doi.org/10.1145/3290605.3300233" TargetMode="External" /><Relationship Type="http://schemas.openxmlformats.org/officeDocument/2006/relationships/hyperlink" Id="rId261" Target="https://doi.org/10.1145/3458723" TargetMode="External" /><Relationship Type="http://schemas.openxmlformats.org/officeDocument/2006/relationships/hyperlink" Id="rId265" Target="https://doi.org/10.1145/3531146.3533088" TargetMode="External" /><Relationship Type="http://schemas.openxmlformats.org/officeDocument/2006/relationships/hyperlink" Id="rId245" Target="https://doi.org/10.1145/963770.963772" TargetMode="External" /><Relationship Type="http://schemas.openxmlformats.org/officeDocument/2006/relationships/hyperlink" Id="rId236" Target="https://doi.org/10.1162/tacl_a_00373" TargetMode="External" /><Relationship Type="http://schemas.openxmlformats.org/officeDocument/2006/relationships/hyperlink" Id="rId212" Target="https://doi.org/10.1561/1500000019" TargetMode="External" /><Relationship Type="http://schemas.openxmlformats.org/officeDocument/2006/relationships/hyperlink" Id="rId249" Target="https://doi.org/10.1609/aimag.v35i4.2513" TargetMode="External" /><Relationship Type="http://schemas.openxmlformats.org/officeDocument/2006/relationships/hyperlink" Id="rId220" Target="https://doi.org/10.18653/v1/2020.acl-main.207" TargetMode="External" /><Relationship Type="http://schemas.openxmlformats.org/officeDocument/2006/relationships/hyperlink" Id="rId202" Target="https://doi.org/10.18653/v1/2020.acl-main.447" TargetMode="External" /><Relationship Type="http://schemas.openxmlformats.org/officeDocument/2006/relationships/hyperlink" Id="rId218" Target="https://doi.org/10.18653/v1/2020.emnlp-main.550" TargetMode="External" /><Relationship Type="http://schemas.openxmlformats.org/officeDocument/2006/relationships/hyperlink" Id="rId226" Target="https://doi.org/10.18653/v1/2021.eacl-main.74" TargetMode="External" /><Relationship Type="http://schemas.openxmlformats.org/officeDocument/2006/relationships/hyperlink" Id="rId255" Target="https://doi.org/10.18653/v1/2021.naacl-main.300" TargetMode="External" /><Relationship Type="http://schemas.openxmlformats.org/officeDocument/2006/relationships/hyperlink" Id="rId238" Target="https://doi.org/10.18653/v1/2023.emnlp-main.153" TargetMode="External" /><Relationship Type="http://schemas.openxmlformats.org/officeDocument/2006/relationships/hyperlink" Id="rId234" Target="https://doi.org/10.18653/v1/2023.emnlp-main.741" TargetMode="External" /><Relationship Type="http://schemas.openxmlformats.org/officeDocument/2006/relationships/hyperlink" Id="rId230" Target="https://doi.org/10.18653/v1/2024.eacl-demo.16" TargetMode="External" /><Relationship Type="http://schemas.openxmlformats.org/officeDocument/2006/relationships/hyperlink" Id="rId232" Target="https://doi.org/10.18653/v1/2024.naacl-long.20" TargetMode="External" /><Relationship Type="http://schemas.openxmlformats.org/officeDocument/2006/relationships/hyperlink" Id="rId216" Target="https://doi.org/10.18653/v1/D19-1410" TargetMode="External" /><Relationship Type="http://schemas.openxmlformats.org/officeDocument/2006/relationships/hyperlink" Id="rId200" Target="https://doi.org/10.18653/v1/N18-3011" TargetMode="External" /><Relationship Type="http://schemas.openxmlformats.org/officeDocument/2006/relationships/hyperlink" Id="rId208" Target="https://doi.org/10.2307/25148625" TargetMode="External" /><Relationship Type="http://schemas.openxmlformats.org/officeDocument/2006/relationships/hyperlink" Id="rId210" Target="https://doi.org/10.2753/MIS0742-1222240302" TargetMode="External" /><Relationship Type="http://schemas.openxmlformats.org/officeDocument/2006/relationships/hyperlink" Id="rId253" Target="https://doi.org/10.48550/arXiv.2203.05794" TargetMode="External" /><Relationship Type="http://schemas.openxmlformats.org/officeDocument/2006/relationships/hyperlink" Id="rId204" Target="https://doi.org/10.48550/arXiv.2205.01833" TargetMode="External" /><Relationship Type="http://schemas.openxmlformats.org/officeDocument/2006/relationships/hyperlink" Id="rId267" Target="https://doi.org/10.6028/NIST.AI.100-1" TargetMode="External" /><Relationship Type="http://schemas.openxmlformats.org/officeDocument/2006/relationships/hyperlink" Id="rId228" Target="https://openreview.net/forum?id=hSyW5go0v8" TargetMode="External" /><Relationship Type="http://schemas.openxmlformats.org/officeDocument/2006/relationships/hyperlink" Id="rId222" Target="https://openreview.net/forum?id=wCu6T5xFjeJ" TargetMode="External" /><Relationship Type="http://schemas.openxmlformats.org/officeDocument/2006/relationships/hyperlink" Id="rId206" Target="https://proceedings.neurips.cc/paper/2020/hash/6b493230-Abstract.html" TargetMode="External" /><Relationship Type="http://schemas.openxmlformats.org/officeDocument/2006/relationships/hyperlink" Id="rId251" Target="https://www.jmlr.org/papers/v3/blei03a.html" TargetMode="External" /><Relationship Type="http://schemas.openxmlformats.org/officeDocument/2006/relationships/hyperlink" Id="rId20" Target="mailto:jarod.esareesingh@my.uwi.edu" TargetMode="External" /><Relationship Id="rId268" Type="http://schemas.openxmlformats.org/officeDocument/2006/relationships/header" Target="header1.xml" /><Relationship Id="rId269"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241" Target="https://doi.org/10.1007/s00799-015-0156-0" TargetMode="External" /><Relationship Type="http://schemas.openxmlformats.org/officeDocument/2006/relationships/hyperlink" Id="rId259" Target="https://doi.org/10.1016/j.ipm.2008.06.003" TargetMode="External" /><Relationship Type="http://schemas.openxmlformats.org/officeDocument/2006/relationships/hyperlink" Id="rId224" Target="https://doi.org/10.1023/A:1021240730564" TargetMode="External" /><Relationship Type="http://schemas.openxmlformats.org/officeDocument/2006/relationships/hyperlink" Id="rId194" Target="https://doi.org/10.1109/RTSI64020.2025.11212505" TargetMode="External" /><Relationship Type="http://schemas.openxmlformats.org/officeDocument/2006/relationships/hyperlink" Id="rId257" Target="https://doi.org/10.1145/1148170.1148181" TargetMode="External" /><Relationship Type="http://schemas.openxmlformats.org/officeDocument/2006/relationships/hyperlink" Id="rId198" Target="https://doi.org/10.1145/1401890.1402008" TargetMode="External" /><Relationship Type="http://schemas.openxmlformats.org/officeDocument/2006/relationships/hyperlink" Id="rId214" Target="https://doi.org/10.1145/1553374.1553516" TargetMode="External" /><Relationship Type="http://schemas.openxmlformats.org/officeDocument/2006/relationships/hyperlink" Id="rId243" Target="https://doi.org/10.1145/1816123.1816129" TargetMode="External" /><Relationship Type="http://schemas.openxmlformats.org/officeDocument/2006/relationships/hyperlink" Id="rId196" Target="https://doi.org/10.1145/276675.276685" TargetMode="External" /><Relationship Type="http://schemas.openxmlformats.org/officeDocument/2006/relationships/hyperlink" Id="rId263" Target="https://doi.org/10.1145/3287560.3287596" TargetMode="External" /><Relationship Type="http://schemas.openxmlformats.org/officeDocument/2006/relationships/hyperlink" Id="rId247" Target="https://doi.org/10.1145/3290605.3300233" TargetMode="External" /><Relationship Type="http://schemas.openxmlformats.org/officeDocument/2006/relationships/hyperlink" Id="rId261" Target="https://doi.org/10.1145/3458723" TargetMode="External" /><Relationship Type="http://schemas.openxmlformats.org/officeDocument/2006/relationships/hyperlink" Id="rId265" Target="https://doi.org/10.1145/3531146.3533088" TargetMode="External" /><Relationship Type="http://schemas.openxmlformats.org/officeDocument/2006/relationships/hyperlink" Id="rId245" Target="https://doi.org/10.1145/963770.963772" TargetMode="External" /><Relationship Type="http://schemas.openxmlformats.org/officeDocument/2006/relationships/hyperlink" Id="rId236" Target="https://doi.org/10.1162/tacl_a_00373" TargetMode="External" /><Relationship Type="http://schemas.openxmlformats.org/officeDocument/2006/relationships/hyperlink" Id="rId212" Target="https://doi.org/10.1561/1500000019" TargetMode="External" /><Relationship Type="http://schemas.openxmlformats.org/officeDocument/2006/relationships/hyperlink" Id="rId249" Target="https://doi.org/10.1609/aimag.v35i4.2513" TargetMode="External" /><Relationship Type="http://schemas.openxmlformats.org/officeDocument/2006/relationships/hyperlink" Id="rId220" Target="https://doi.org/10.18653/v1/2020.acl-main.207" TargetMode="External" /><Relationship Type="http://schemas.openxmlformats.org/officeDocument/2006/relationships/hyperlink" Id="rId202" Target="https://doi.org/10.18653/v1/2020.acl-main.447" TargetMode="External" /><Relationship Type="http://schemas.openxmlformats.org/officeDocument/2006/relationships/hyperlink" Id="rId218" Target="https://doi.org/10.18653/v1/2020.emnlp-main.550" TargetMode="External" /><Relationship Type="http://schemas.openxmlformats.org/officeDocument/2006/relationships/hyperlink" Id="rId226" Target="https://doi.org/10.18653/v1/2021.eacl-main.74" TargetMode="External" /><Relationship Type="http://schemas.openxmlformats.org/officeDocument/2006/relationships/hyperlink" Id="rId255" Target="https://doi.org/10.18653/v1/2021.naacl-main.300" TargetMode="External" /><Relationship Type="http://schemas.openxmlformats.org/officeDocument/2006/relationships/hyperlink" Id="rId238" Target="https://doi.org/10.18653/v1/2023.emnlp-main.153" TargetMode="External" /><Relationship Type="http://schemas.openxmlformats.org/officeDocument/2006/relationships/hyperlink" Id="rId234" Target="https://doi.org/10.18653/v1/2023.emnlp-main.741" TargetMode="External" /><Relationship Type="http://schemas.openxmlformats.org/officeDocument/2006/relationships/hyperlink" Id="rId230" Target="https://doi.org/10.18653/v1/2024.eacl-demo.16" TargetMode="External" /><Relationship Type="http://schemas.openxmlformats.org/officeDocument/2006/relationships/hyperlink" Id="rId232" Target="https://doi.org/10.18653/v1/2024.naacl-long.20" TargetMode="External" /><Relationship Type="http://schemas.openxmlformats.org/officeDocument/2006/relationships/hyperlink" Id="rId216" Target="https://doi.org/10.18653/v1/D19-1410" TargetMode="External" /><Relationship Type="http://schemas.openxmlformats.org/officeDocument/2006/relationships/hyperlink" Id="rId200" Target="https://doi.org/10.18653/v1/N18-3011" TargetMode="External" /><Relationship Type="http://schemas.openxmlformats.org/officeDocument/2006/relationships/hyperlink" Id="rId208" Target="https://doi.org/10.2307/25148625" TargetMode="External" /><Relationship Type="http://schemas.openxmlformats.org/officeDocument/2006/relationships/hyperlink" Id="rId210" Target="https://doi.org/10.2753/MIS0742-1222240302" TargetMode="External" /><Relationship Type="http://schemas.openxmlformats.org/officeDocument/2006/relationships/hyperlink" Id="rId253" Target="https://doi.org/10.48550/arXiv.2203.05794" TargetMode="External" /><Relationship Type="http://schemas.openxmlformats.org/officeDocument/2006/relationships/hyperlink" Id="rId204" Target="https://doi.org/10.48550/arXiv.2205.01833" TargetMode="External" /><Relationship Type="http://schemas.openxmlformats.org/officeDocument/2006/relationships/hyperlink" Id="rId267" Target="https://doi.org/10.6028/NIST.AI.100-1" TargetMode="External" /><Relationship Type="http://schemas.openxmlformats.org/officeDocument/2006/relationships/hyperlink" Id="rId228" Target="https://openreview.net/forum?id=hSyW5go0v8" TargetMode="External" /><Relationship Type="http://schemas.openxmlformats.org/officeDocument/2006/relationships/hyperlink" Id="rId222" Target="https://openreview.net/forum?id=wCu6T5xFjeJ" TargetMode="External" /><Relationship Type="http://schemas.openxmlformats.org/officeDocument/2006/relationships/hyperlink" Id="rId206" Target="https://proceedings.neurips.cc/paper/2020/hash/6b493230-Abstract.html" TargetMode="External" /><Relationship Type="http://schemas.openxmlformats.org/officeDocument/2006/relationships/hyperlink" Id="rId251" Target="https://www.jmlr.org/papers/v3/blei03a.html" TargetMode="External" /><Relationship Type="http://schemas.openxmlformats.org/officeDocument/2006/relationships/hyperlink" Id="rId20" Target="mailto:jarod.esareesingh@my.uwi.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Source-Traceable Research Intelligence: Evidence-Grounded Discovery, Question Answering, and Thesis-Extension Support</dc:title>
  <dc:creator>Jarod Esareesingh</dc:creator>
  <cp:keywords>research intelligence, information retrieval, retrieval-augmented generation, idea generation, scholarly recommendation, responsible AI, reproducibility</cp:keywords>
  <dcterms:created xsi:type="dcterms:W3CDTF">2026-07-22T18:37:06Z</dcterms:created>
  <dcterms:modified xsi:type="dcterms:W3CDTF">2026-07-22T18:37:06Z</dcterms:modified>
  <dc:subject>MSc Data Science project, Department of Computing &amp; Information Technology, The University of the West Indies</dc:subject>
  <dc:description>Author contact: jarod.esareesingh@my.uwi.edu; Trinidad and Tobago</dc:description>
  <cp:lastModifiedBy>Jarod Esareesingh</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word/ieee.csl</vt:lpwstr>
  </property>
  <property fmtid="{D5CDD505-2E9C-101B-9397-08002B2CF9AE}" pid="4" name="reference-section-title">
    <vt:lpwstr>References</vt:lpwstr>
  </property>
</Properties>
</file>