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Canonical Corrections — Liana Banyan Economic Model</w:t>
      </w:r>
    </w:p>
    <w:bookmarkStart w:id="25" w:name="X4dd9963e43de8b313aaccffe954c382658ddfd7"/>
    <w:p>
      <w:pPr>
        <w:pStyle w:val="Heading1"/>
      </w:pPr>
      <w:r>
        <w:t xml:space="preserve">Canonical Corrections — Liana Banyan Economic Model</w:t>
      </w:r>
    </w:p>
    <w:bookmarkStart w:id="9" w:name="session-bp081-june-12-2026"/>
    <w:p>
      <w:pPr>
        <w:pStyle w:val="Heading2"/>
      </w:pPr>
      <w:r>
        <w:t xml:space="preserve">Session BP081 — June 12, 2026</w:t>
      </w:r>
    </w:p>
    <w:bookmarkEnd w:id="9"/>
    <w:bookmarkStart w:id="10" w:name="Xa45b2a69a78148c318d41f2c08afe872bb82574"/>
    <w:p>
      <w:pPr>
        <w:pStyle w:val="Heading2"/>
      </w:pPr>
      <w:r>
        <w:t xml:space="preserve">Three Locked Corrections for Integration into BP078 Canonical</w:t>
      </w:r>
    </w:p>
    <w:p>
      <w:r>
        <w:pict>
          <v:rect style="width:0;height:1.5pt" o:hralign="center" o:hrstd="t" o:hr="t"/>
        </w:pict>
      </w:r>
    </w:p>
    <w:bookmarkEnd w:id="10"/>
    <w:bookmarkStart w:id="14" w:name="X4af8b175ce22e387ba78cdd3d4e174f7570bff9"/>
    <w:p>
      <w:pPr>
        <w:pStyle w:val="Heading2"/>
      </w:pPr>
      <w:r>
        <w:t xml:space="preserve">CORRECTION 1: Medallion Cascade — Language Fix</w:t>
      </w:r>
    </w:p>
    <w:bookmarkStart w:id="11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Two phrases in the Medallion Cascade section triggered MLM and securities law exposure: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“genealogy chain”</w:t>
      </w:r>
      <w:r>
        <w:t xml:space="preserve"> </w:t>
      </w:r>
      <w:r>
        <w:t xml:space="preserve">— MLM downline language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“Early participants benefit from later participants’ growth”</w:t>
      </w:r>
      <w:r>
        <w:t xml:space="preserve"> </w:t>
      </w:r>
      <w:r>
        <w:t xml:space="preserve">— Howey prong 4 (efforts of others)</w:t>
      </w:r>
    </w:p>
    <w:bookmarkEnd w:id="11"/>
    <w:bookmarkStart w:id="12" w:name="X742fa8f13e7e09f256491514dc8ec7739eea5c0"/>
    <w:p>
      <w:pPr>
        <w:pStyle w:val="Heading3"/>
      </w:pPr>
      <w:r>
        <w:t xml:space="preserve">Corrected Paragraph (replace in Innovation 4)</w:t>
      </w:r>
    </w:p>
    <w:p>
      <w:pPr>
        <w:pStyle w:val="BlockText"/>
      </w:pPr>
      <w:r>
        <w:t xml:space="preserve">The Medallion Cascade is how ownership distributes. Fifty physical medallions, each worth $100, split recursively: 50 become 500 become 5,000 become 50,000. Total value is conserved. Breadth of ownership multiplies.</w:t>
      </w:r>
    </w:p>
    <w:p>
      <w:pPr>
        <w:pStyle w:val="BlockText"/>
      </w:pPr>
      <w:r>
        <w:t xml:space="preserve">When platform success events occur, surplus distributions are allocated proportionally across all medallion-holders — weighted by generation and contribution record. This mirrors how established worker cooperatives distribute patronage dividends: in proportion to each member’s active participation in the cooperative’s economic activity, not in proportion to who joined first or who recruited whom. A founding medallion-holder’s larger distribution reflects their larger total contribution record, not a passive claim on others’ labor.</w:t>
      </w:r>
    </w:p>
    <w:p>
      <w:pPr>
        <w:pStyle w:val="BlockText"/>
      </w:pPr>
      <w:r>
        <w:t xml:space="preserve">This inverts the usual dynamic of investor-owned platforms — where early equity concentrates returns at the top — by distributing ownership broadly from the outset, so that a larger, more active membership base creates more value for everyone through their own participation.</w:t>
      </w:r>
    </w:p>
    <w:bookmarkEnd w:id="12"/>
    <w:bookmarkStart w:id="13" w:name="legal-rationale"/>
    <w:p>
      <w:pPr>
        <w:pStyle w:val="Heading3"/>
      </w:pPr>
      <w:r>
        <w:t xml:space="preserve">Legal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Original Language</w:t>
            </w:r>
          </w:p>
        </w:tc>
        <w:tc>
          <w:tcPr/>
          <w:p>
            <w:pPr>
              <w:pStyle w:val="Compact"/>
            </w:pPr>
            <w:r>
              <w:t xml:space="preserve">Fixed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MLM / pyramid</w:t>
            </w:r>
          </w:p>
        </w:tc>
        <w:tc>
          <w:tcPr/>
          <w:p>
            <w:pPr>
              <w:pStyle w:val="Compact"/>
            </w:pPr>
            <w:r>
              <w:t xml:space="preserve">“genealogy chain”</w:t>
            </w:r>
          </w:p>
        </w:tc>
        <w:tc>
          <w:tcPr/>
          <w:p>
            <w:pPr>
              <w:pStyle w:val="Compact"/>
            </w:pPr>
            <w:r>
              <w:t xml:space="preserve">Removed; replaced with</w:t>
            </w:r>
            <w:r>
              <w:t xml:space="preserve"> </w:t>
            </w:r>
            <w:r>
              <w:t xml:space="preserve">“contribution record”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“active participation”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Howey prong 4</w:t>
            </w:r>
          </w:p>
        </w:tc>
        <w:tc>
          <w:tcPr/>
          <w:p>
            <w:pPr>
              <w:pStyle w:val="Compact"/>
            </w:pPr>
            <w:r>
              <w:t xml:space="preserve">“Early participants benefit from later participants’ growth”</w:t>
            </w:r>
          </w:p>
        </w:tc>
        <w:tc>
          <w:tcPr/>
          <w:p>
            <w:pPr>
              <w:pStyle w:val="Compact"/>
            </w:pPr>
            <w:r>
              <w:t xml:space="preserve">“larger distribution reflects their larger total contribution record, not a passive claim on others’ labor”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Howey prong 3</w:t>
            </w:r>
          </w:p>
        </w:tc>
        <w:tc>
          <w:tcPr/>
          <w:p>
            <w:pPr>
              <w:pStyle w:val="Compact"/>
            </w:pPr>
            <w:r>
              <w:t xml:space="preserve">Implied passive profit expectation</w:t>
            </w:r>
          </w:p>
        </w:tc>
        <w:tc>
          <w:tcPr/>
          <w:p>
            <w:pPr>
              <w:pStyle w:val="Compact"/>
            </w:pPr>
            <w:r>
              <w:t xml:space="preserve">Reframed as patronage dividend — cooperative exemption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FTC pyramid concern</w:t>
            </w:r>
          </w:p>
        </w:tc>
        <w:tc>
          <w:tcPr/>
          <w:p>
            <w:pPr>
              <w:pStyle w:val="Compact"/>
            </w:pPr>
            <w:r>
              <w:t xml:space="preserve">Recruitment-linked reward implied</w:t>
            </w:r>
          </w:p>
        </w:tc>
        <w:tc>
          <w:tcPr/>
          <w:p>
            <w:pPr>
              <w:pStyle w:val="Compact"/>
            </w:pPr>
            <w:r>
              <w:t xml:space="preserve">Explicitly severed:</w:t>
            </w:r>
            <w:r>
              <w:t xml:space="preserve"> </w:t>
            </w:r>
            <w:r>
              <w:t xml:space="preserve">“not…who recruited whom”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Xb7c386b1ae797098c22c43ecabcc884e53f924a"/>
    <w:p>
      <w:pPr>
        <w:pStyle w:val="Heading2"/>
      </w:pPr>
      <w:r>
        <w:t xml:space="preserve">CORRECTION 2: Birthright Mechanic — Complete Rewrite</w:t>
      </w:r>
    </w:p>
    <w:bookmarkStart w:id="15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Previous version used</w:t>
      </w:r>
      <w:r>
        <w:t xml:space="preserve"> </w:t>
      </w:r>
      <w:r>
        <w:t xml:space="preserve">“redeemable equity,”</w:t>
      </w:r>
      <w:r>
        <w:t xml:space="preserve"> </w:t>
      </w:r>
      <w:r>
        <w:t xml:space="preserve">“claim on platform ownership,”</w:t>
      </w:r>
      <w:r>
        <w:t xml:space="preserve"> </w:t>
      </w:r>
      <w:r>
        <w:t xml:space="preserve">and</w:t>
      </w:r>
      <w:r>
        <w:t xml:space="preserve"> </w:t>
      </w:r>
      <w:r>
        <w:t xml:space="preserve">“equity transfers permanently”</w:t>
      </w:r>
      <w:r>
        <w:t xml:space="preserve"> </w:t>
      </w:r>
      <w:r>
        <w:t xml:space="preserve">— all of which create securities law exposure under Howey.</w:t>
      </w:r>
    </w:p>
    <w:bookmarkEnd w:id="15"/>
    <w:bookmarkStart w:id="16" w:name="background-what-marks-actually-are"/>
    <w:p>
      <w:pPr>
        <w:pStyle w:val="Heading3"/>
      </w:pPr>
      <w:r>
        <w:t xml:space="preserve">Background: What Marks Actually Are</w:t>
      </w:r>
    </w:p>
    <w:p>
      <w:pPr>
        <w:pStyle w:val="FirstParagraph"/>
      </w:pPr>
      <w:r>
        <w:t xml:space="preserve">Marks are not a discount instrument and not freely tradeable surplus. They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Backed by real value</w:t>
      </w:r>
      <w:r>
        <w:t xml:space="preserve"> </w:t>
      </w:r>
      <w:r>
        <w:t xml:space="preserve">— either fiat Credits purchased at $1:1, OR the IP portfolio value (the patent portfolio backs the differential between what a weak-currency participant paid and what the platform received)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forward obligation</w:t>
      </w:r>
      <w:r>
        <w:t xml:space="preserve"> </w:t>
      </w:r>
      <w:r>
        <w:t xml:space="preserve">— representing the holder’s future participation that will make up the economic gap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Earned through work, not bought</w:t>
      </w:r>
      <w:r>
        <w:t xml:space="preserve"> </w:t>
      </w:r>
      <w:r>
        <w:t xml:space="preserve">— they clear through activity precisely because they represent that activity being owed</w:t>
      </w:r>
    </w:p>
    <w:bookmarkEnd w:id="16"/>
    <w:bookmarkStart w:id="17" w:name="Xa82d3172d10b57f365ed3883b589ae42d8b1c65"/>
    <w:p>
      <w:pPr>
        <w:pStyle w:val="Heading3"/>
      </w:pPr>
      <w:r>
        <w:t xml:space="preserve">Corrected Birthright Mechanic (replace in Innovation 1)</w:t>
      </w:r>
    </w:p>
    <w:p>
      <w:pPr>
        <w:pStyle w:val="FirstParagraph"/>
      </w:pPr>
      <w:r>
        <w:rPr>
          <w:b/>
          <w:bCs/>
        </w:rPr>
        <w:t xml:space="preserve">The Birthright Mechanic:</w:t>
      </w:r>
    </w:p>
    <w:p>
      <w:pPr>
        <w:pStyle w:val="BodyText"/>
      </w:pPr>
      <w:r>
        <w:t xml:space="preserve">If a participant cannot or chooses not to clear their Marks obligation through participation:</w:t>
      </w:r>
    </w:p>
    <w:p>
      <w:pPr>
        <w:pStyle w:val="Compact"/>
        <w:numPr>
          <w:ilvl w:val="0"/>
          <w:numId w:val="1003"/>
        </w:numPr>
      </w:pPr>
      <w:r>
        <w:t xml:space="preserve">The original holder may redeem their Marks themselves at Credit rate —</w:t>
      </w:r>
      <w:r>
        <w:t xml:space="preserve"> </w:t>
      </w:r>
      <w:r>
        <w:rPr>
          <w:b/>
          <w:bCs/>
        </w:rPr>
        <w:t xml:space="preserve">1 Credit per Mark</w:t>
      </w:r>
      <w:r>
        <w:t xml:space="preserve"> </w:t>
      </w:r>
      <w:r>
        <w:t xml:space="preserve">— within</w:t>
      </w:r>
      <w:r>
        <w:t xml:space="preserve"> </w:t>
      </w:r>
      <w:r>
        <w:rPr>
          <w:b/>
          <w:bCs/>
        </w:rPr>
        <w:t xml:space="preserve">one year</w:t>
      </w:r>
      <w:r>
        <w:t xml:space="preserve"> </w:t>
      </w:r>
      <w:r>
        <w:t xml:space="preserve">of issuance</w:t>
      </w:r>
    </w:p>
    <w:p>
      <w:pPr>
        <w:pStyle w:val="Compact"/>
        <w:numPr>
          <w:ilvl w:val="0"/>
          <w:numId w:val="1003"/>
        </w:numPr>
      </w:pPr>
      <w:r>
        <w:t xml:space="preserve">If unredeemed after one year, the Marks</w:t>
      </w:r>
      <w:r>
        <w:t xml:space="preserve"> </w:t>
      </w:r>
      <w:r>
        <w:rPr>
          <w:b/>
          <w:bCs/>
        </w:rPr>
        <w:t xml:space="preserve">forfeit to Liana Banyan</w:t>
      </w:r>
    </w:p>
    <w:p>
      <w:pPr>
        <w:pStyle w:val="Compact"/>
        <w:numPr>
          <w:ilvl w:val="0"/>
          <w:numId w:val="1003"/>
        </w:numPr>
      </w:pPr>
      <w:r>
        <w:t xml:space="preserve">Liana Banyan offers forfeited Marks to other members at the</w:t>
      </w:r>
      <w:r>
        <w:t xml:space="preserve"> </w:t>
      </w:r>
      <w:r>
        <w:rPr>
          <w:b/>
          <w:bCs/>
        </w:rPr>
        <w:t xml:space="preserve">Joules rate: 1.2 Credits per Mark</w:t>
      </w:r>
    </w:p>
    <w:p>
      <w:pPr>
        <w:pStyle w:val="Compact"/>
        <w:numPr>
          <w:ilvl w:val="0"/>
          <w:numId w:val="1003"/>
        </w:numPr>
      </w:pPr>
      <w:r>
        <w:t xml:space="preserve">The purchasing member receives the Marks and clears them through their own platform participation</w:t>
      </w:r>
    </w:p>
    <w:p>
      <w:pPr>
        <w:pStyle w:val="Compact"/>
        <w:numPr>
          <w:ilvl w:val="0"/>
          <w:numId w:val="1003"/>
        </w:numPr>
      </w:pPr>
      <w:r>
        <w:t xml:space="preserve">Liana Banyan retains the</w:t>
      </w:r>
      <w:r>
        <w:t xml:space="preserve"> </w:t>
      </w:r>
      <w:r>
        <w:rPr>
          <w:b/>
          <w:bCs/>
        </w:rPr>
        <w:t xml:space="preserve">0.2 Credit margin</w:t>
      </w:r>
      <w:r>
        <w:t xml:space="preserve"> </w:t>
      </w:r>
      <w:r>
        <w:t xml:space="preserve">— Cost+20% is preserved at every layer</w:t>
      </w:r>
    </w:p>
    <w:p>
      <w:pPr>
        <w:pStyle w:val="FirstParagraph"/>
      </w:pPr>
      <w:r>
        <w:t xml:space="preserve">This mechanism echoes the story of Esau selling his birthright (Genesis 25:29–34). Unlike Esau, the holder has a full year and a fair buyback price. The platform neither forces nor prevents this outcome — it simply holds the obligation until the choice is made.</w:t>
      </w:r>
      <w:r>
        <w:t xml:space="preserve"> </w:t>
      </w:r>
      <w:r>
        <w:rPr>
          <w:b/>
          <w:bCs/>
        </w:rPr>
        <w:t xml:space="preserve">No equity transfers. No ownership changes hands. No profit expectation is created. The system remains closed, solvent, and whole.</w:t>
      </w:r>
    </w:p>
    <w:bookmarkEnd w:id="17"/>
    <w:bookmarkStart w:id="18" w:name="legal-rationale-1"/>
    <w:p>
      <w:pPr>
        <w:pStyle w:val="Heading3"/>
      </w:pPr>
      <w:r>
        <w:t xml:space="preserve">Legal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Language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Fixed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“redeemable equity”</w:t>
            </w:r>
          </w:p>
        </w:tc>
        <w:tc>
          <w:tcPr/>
          <w:p>
            <w:pPr>
              <w:pStyle w:val="Compact"/>
            </w:pPr>
            <w:r>
              <w:t xml:space="preserve">Security / ownership claim</w:t>
            </w:r>
          </w:p>
        </w:tc>
        <w:tc>
          <w:tcPr/>
          <w:p>
            <w:pPr>
              <w:pStyle w:val="Compact"/>
            </w:pPr>
            <w:r>
              <w:t xml:space="preserve">Removed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“claim on platform ownership”</w:t>
            </w:r>
          </w:p>
        </w:tc>
        <w:tc>
          <w:tcPr/>
          <w:p>
            <w:pPr>
              <w:pStyle w:val="Compact"/>
            </w:pPr>
            <w:r>
              <w:t xml:space="preserve">Howey common enterprise prong</w:t>
            </w:r>
          </w:p>
        </w:tc>
        <w:tc>
          <w:tcPr/>
          <w:p>
            <w:pPr>
              <w:pStyle w:val="Compact"/>
            </w:pPr>
            <w:r>
              <w:t xml:space="preserve">Removed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“equity transfers permanently”</w:t>
            </w:r>
          </w:p>
        </w:tc>
        <w:tc>
          <w:tcPr/>
          <w:p>
            <w:pPr>
              <w:pStyle w:val="Compact"/>
            </w:pPr>
            <w:r>
              <w:t xml:space="preserve">Investment contract language</w:t>
            </w:r>
          </w:p>
        </w:tc>
        <w:tc>
          <w:tcPr/>
          <w:p>
            <w:pPr>
              <w:pStyle w:val="Compact"/>
            </w:pPr>
            <w:r>
              <w:t xml:space="preserve">“Joules conversion transfers permanently to purchasing member”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Selling Marks as Joules directly</w:t>
            </w:r>
          </w:p>
        </w:tc>
        <w:tc>
          <w:tcPr/>
          <w:p>
            <w:pPr>
              <w:pStyle w:val="Compact"/>
            </w:pPr>
            <w:r>
              <w:t xml:space="preserve">Lets holder cash out an unfulfilled obligation</w:t>
            </w:r>
          </w:p>
        </w:tc>
        <w:tc>
          <w:tcPr/>
          <w:p>
            <w:pPr>
              <w:pStyle w:val="Compact"/>
            </w:pPr>
            <w:r>
              <w:t xml:space="preserve">Marks forfeit to LB first; LB resells at Cost+20%</w:t>
            </w:r>
          </w:p>
        </w:tc>
      </w:tr>
    </w:tbl>
    <w:bookmarkEnd w:id="18"/>
    <w:bookmarkStart w:id="19" w:name="the-economic-logic"/>
    <w:p>
      <w:pPr>
        <w:pStyle w:val="Heading3"/>
      </w:pPr>
      <w:r>
        <w:t xml:space="preserve">The Economic Logic</w:t>
      </w:r>
    </w:p>
    <w:p>
      <w:pPr>
        <w:pStyle w:val="FirstParagraph"/>
      </w:pPr>
      <w:r>
        <w:t xml:space="preserve">You owed work. You didn’t do it.</w:t>
      </w:r>
    </w:p>
    <w:p>
      <w:pPr>
        <w:pStyle w:val="BodyText"/>
      </w:pPr>
      <w:r>
        <w:t xml:space="preserve">You had a year to buy your way out at par (1 Credit per Mark).</w:t>
      </w:r>
    </w:p>
    <w:p>
      <w:pPr>
        <w:pStyle w:val="BodyText"/>
      </w:pPr>
      <w:r>
        <w:t xml:space="preserve">You didn’t. The obligation reverts to the platform.</w:t>
      </w:r>
    </w:p>
    <w:p>
      <w:pPr>
        <w:pStyle w:val="BodyText"/>
      </w:pPr>
      <w:r>
        <w:t xml:space="preserve">The platform resells it at Cost+20% to someone who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do the work.</w:t>
      </w:r>
    </w:p>
    <w:p>
      <w:pPr>
        <w:pStyle w:val="BodyText"/>
      </w:pPr>
      <w:r>
        <w:t xml:space="preserve">The system is whole. The closed loop holds. No equity. No securities. No external conversion.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8362c3856488854b50141681a5ab07eee3b24a9"/>
    <w:p>
      <w:pPr>
        <w:pStyle w:val="Heading2"/>
      </w:pPr>
      <w:r>
        <w:t xml:space="preserve">CORRECTION 3: Joules — Complete Mechanics (replaces partial definition)</w:t>
      </w:r>
    </w:p>
    <w:bookmarkStart w:id="21" w:name="problem-2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Previous versions described Joules primarily as a strong-currency differential instrument. The full three-pathway issuance mechanic was not documented.</w:t>
      </w:r>
    </w:p>
    <w:bookmarkEnd w:id="21"/>
    <w:bookmarkStart w:id="22" w:name="Xff4fb6626adafe2306c9c9ef7216454e2f8c8d3"/>
    <w:p>
      <w:pPr>
        <w:pStyle w:val="Heading3"/>
      </w:pPr>
      <w:r>
        <w:t xml:space="preserve">Corrected Joules Definition (replace full Joules section in Innovation 1)</w:t>
      </w:r>
    </w:p>
    <w:p>
      <w:pPr>
        <w:pStyle w:val="FirstParagraph"/>
      </w:pPr>
      <w:r>
        <w:rPr>
          <w:b/>
          <w:bCs/>
        </w:rPr>
        <w:t xml:space="preserve">Joules — Complete Mechanics:</w:t>
      </w:r>
    </w:p>
    <w:p>
      <w:pPr>
        <w:pStyle w:val="BodyText"/>
      </w:pPr>
      <w:r>
        <w:t xml:space="preserve">Joules are the platform’s stored-value instrument. They are</w:t>
      </w:r>
      <w:r>
        <w:t xml:space="preserve"> </w:t>
      </w:r>
      <w:r>
        <w:rPr>
          <w:b/>
          <w:bCs/>
        </w:rPr>
        <w:t xml:space="preserve">never redeemable in fiat</w:t>
      </w:r>
      <w:r>
        <w:t xml:space="preserve"> </w:t>
      </w:r>
      <w:r>
        <w:t xml:space="preserve">— this is what keeps them categorically outside securities law at every issuance point.</w:t>
      </w:r>
    </w:p>
    <w:p>
      <w:pPr>
        <w:pStyle w:val="BodyText"/>
      </w:pPr>
      <w:r>
        <w:rPr>
          <w:b/>
          <w:bCs/>
        </w:rPr>
        <w:t xml:space="preserve">How Joules are issued (three pathways):</w:t>
      </w:r>
    </w:p>
    <w:p>
      <w:pPr>
        <w:pStyle w:val="BodyText"/>
      </w:pPr>
      <w:r>
        <w:rPr>
          <w:b/>
          <w:bCs/>
        </w:rPr>
        <w:t xml:space="preserve">Pathway 1 — Standard acquisition (Cost+20%):</w:t>
      </w:r>
      <w:r>
        <w:t xml:space="preserve"> </w:t>
      </w:r>
      <w:r>
        <w:t xml:space="preserve">A member purchases Joules at</w:t>
      </w:r>
      <w:r>
        <w:t xml:space="preserve"> </w:t>
      </w:r>
      <w:r>
        <w:rPr>
          <w:b/>
          <w:bCs/>
        </w:rPr>
        <w:t xml:space="preserve">1.2 Credits per Joule</w:t>
      </w:r>
      <w:r>
        <w:t xml:space="preserve">. Each Joule retains the purchasing power of 1 Credit at the moment of acquisition — the</w:t>
      </w:r>
      <w:r>
        <w:t xml:space="preserve"> </w:t>
      </w:r>
      <w:r>
        <w:rPr>
          <w:b/>
          <w:bCs/>
        </w:rPr>
        <w:t xml:space="preserve">Forever Stamp mechanic</w:t>
      </w:r>
      <w:r>
        <w:t xml:space="preserve">. The platform economy operates on a one-way ratchet: as the platform grows and Credits command more value over time, Joules purchased today retain their purchasing power at the historical rate of acquisition. They mail the letter — get the service — even when prices change.</w:t>
      </w:r>
    </w:p>
    <w:p>
      <w:pPr>
        <w:pStyle w:val="BodyText"/>
      </w:pPr>
      <w:r>
        <w:rPr>
          <w:b/>
          <w:bCs/>
        </w:rPr>
        <w:t xml:space="preserve">Pathway 2 — Volume pricing differential (automatic issuance):</w:t>
      </w:r>
      <w:r>
        <w:t xml:space="preserve"> </w:t>
      </w:r>
      <w:r>
        <w:t xml:space="preserve">A member purchases a product at early production pricing. Production volume tiers determine Cost+20%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Production Tier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Price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50 units</w:t>
            </w:r>
          </w:p>
        </w:tc>
        <w:tc>
          <w:tcPr/>
          <w:p>
            <w:pPr>
              <w:pStyle w:val="Compact"/>
            </w:pPr>
            <w:r>
              <w:t xml:space="preserve">$175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500 units</w:t>
            </w:r>
          </w:p>
        </w:tc>
        <w:tc>
          <w:tcPr/>
          <w:p>
            <w:pPr>
              <w:pStyle w:val="Compact"/>
            </w:pPr>
            <w:r>
              <w:t xml:space="preserve">~$75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5,000 units</w:t>
            </w:r>
          </w:p>
        </w:tc>
        <w:tc>
          <w:tcPr/>
          <w:p>
            <w:pPr>
              <w:pStyle w:val="Compact"/>
            </w:pPr>
            <w:r>
              <w:t xml:space="preserve">~$25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15,000 units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5</w:t>
            </w:r>
          </w:p>
        </w:tc>
        <w:tc>
          <w:tcPr/>
          <w:p>
            <w:pPr>
              <w:pStyle w:val="Compact"/>
            </w:pPr>
            <w:r>
              <w:t xml:space="preserve">50,000 units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6</w:t>
            </w:r>
          </w:p>
        </w:tc>
        <w:tc>
          <w:tcPr/>
          <w:p>
            <w:pPr>
              <w:pStyle w:val="Compact"/>
            </w:pPr>
            <w:r>
              <w:t xml:space="preserve">500,000+ units</w:t>
            </w:r>
          </w:p>
        </w:tc>
        <w:tc>
          <w:tcPr/>
          <w:p>
            <w:pPr>
              <w:pStyle w:val="Compact"/>
            </w:pPr>
            <w:r>
              <w:t xml:space="preserve">Extrusion-level pricing</w:t>
            </w:r>
          </w:p>
        </w:tc>
      </w:tr>
    </w:tbl>
    <w:p>
      <w:pPr>
        <w:pStyle w:val="BodyText"/>
      </w:pPr>
      <w:r>
        <w:t xml:space="preserve">When production scales and the price drops — from $175 to $25, for example — the</w:t>
      </w:r>
      <w:r>
        <w:t xml:space="preserve"> </w:t>
      </w:r>
      <w:r>
        <w:rPr>
          <w:b/>
          <w:bCs/>
        </w:rPr>
        <w:t xml:space="preserve">$150 difference is not refunded in fiat</w:t>
      </w:r>
      <w:r>
        <w:t xml:space="preserve">. It is issued to the original purchaser as</w:t>
      </w:r>
      <w:r>
        <w:t xml:space="preserve"> </w:t>
      </w:r>
      <w:r>
        <w:rPr>
          <w:b/>
          <w:bCs/>
        </w:rPr>
        <w:t xml:space="preserve">Joules at 1:1</w:t>
      </w:r>
      <w:r>
        <w:t xml:space="preserve">. Dollar for dollar. Credit for Credit. Locked at the moment of issuance.</w:t>
      </w:r>
      <w:r>
        <w:t xml:space="preserve"> </w:t>
      </w:r>
      <w:r>
        <w:rPr>
          <w:b/>
          <w:bCs/>
        </w:rPr>
        <w:t xml:space="preserve">The early believer is honored.</w:t>
      </w:r>
      <w:r>
        <w:t xml:space="preserve"> </w:t>
      </w:r>
      <w:r>
        <w:t xml:space="preserve">The platform never loses margin — it redistributes it forward as stored platform value.</w:t>
      </w:r>
    </w:p>
    <w:p>
      <w:pPr>
        <w:pStyle w:val="BodyText"/>
      </w:pPr>
      <w:r>
        <w:rPr>
          <w:b/>
          <w:bCs/>
        </w:rPr>
        <w:t xml:space="preserve">Pathway 3 — Platform events and launches:</w:t>
      </w:r>
      <w:r>
        <w:t xml:space="preserve"> </w:t>
      </w:r>
      <w:r>
        <w:t xml:space="preserve">During designated events (product launches, platform milestones, founding member windows), Joules may be issued at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t xml:space="preserve">rather than 1.2 — an earned benefit of early participation. These issuances are</w:t>
      </w:r>
      <w:r>
        <w:t xml:space="preserve"> </w:t>
      </w:r>
      <w:r>
        <w:rPr>
          <w:b/>
          <w:bCs/>
        </w:rPr>
        <w:t xml:space="preserve">bounded</w:t>
      </w:r>
      <w:r>
        <w:t xml:space="preserve">,</w:t>
      </w:r>
      <w:r>
        <w:t xml:space="preserve"> </w:t>
      </w:r>
      <w:r>
        <w:rPr>
          <w:b/>
          <w:bCs/>
        </w:rPr>
        <w:t xml:space="preserve">documented</w:t>
      </w:r>
      <w:r>
        <w:t xml:space="preserve">, and</w:t>
      </w:r>
      <w:r>
        <w:t xml:space="preserve"> </w:t>
      </w:r>
      <w:r>
        <w:rPr>
          <w:b/>
          <w:bCs/>
        </w:rPr>
        <w:t xml:space="preserve">tied to specific platform events</w:t>
      </w:r>
      <w:r>
        <w:t xml:space="preserve">, not open-ended.</w:t>
      </w:r>
    </w:p>
    <w:p>
      <w:pPr>
        <w:pStyle w:val="BodyText"/>
      </w:pPr>
      <w:r>
        <w:rPr>
          <w:b/>
          <w:bCs/>
        </w:rPr>
        <w:t xml:space="preserve">Why all three pathways preserve integrity: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redeemable in fiat</w:t>
      </w:r>
      <w:r>
        <w:t xml:space="preserve"> </w:t>
      </w:r>
      <w:r>
        <w:t xml:space="preserve">— in all three pathways, Joules stay inside the closed loop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Cost+20% holds everywhere</w:t>
      </w:r>
      <w:r>
        <w:t xml:space="preserve"> </w:t>
      </w:r>
      <w:r>
        <w:t xml:space="preserve">— even volume differential issuance is Cost+20% doing its job across production tiers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Forever Stamp mechanic applies to all three</w:t>
      </w:r>
      <w:r>
        <w:t xml:space="preserve"> </w:t>
      </w:r>
      <w:r>
        <w:t xml:space="preserve">— whatever a Joule was worth at issuance, it retains that internal purchasing power regardless of what Credits do over 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1:1 event issuances are bounded</w:t>
      </w:r>
      <w:r>
        <w:t xml:space="preserve"> </w:t>
      </w:r>
      <w:r>
        <w:t xml:space="preserve">— they don’t undermine the standard 1.2 rate because they are tied to specific, documented platform events or contractual volume pricing adjustments</w:t>
      </w:r>
    </w:p>
    <w:p>
      <w:pPr>
        <w:pStyle w:val="FirstParagraph"/>
      </w:pPr>
      <w:r>
        <w:t xml:space="preserve">The one-way ratchet, the closed loop, and the three issuance pathways together make Joules the most sophisticated instrument in the system — and the cleanest legally, precisely because they never point outward.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egration-notes"/>
    <w:p>
      <w:pPr>
        <w:pStyle w:val="Heading2"/>
      </w:pPr>
      <w:r>
        <w:t xml:space="preserve">Integration Notes</w:t>
      </w:r>
    </w:p>
    <w:p>
      <w:pPr>
        <w:pStyle w:val="FirstParagraph"/>
      </w:pPr>
      <w:r>
        <w:t xml:space="preserve">These three corrections</w:t>
      </w:r>
      <w:r>
        <w:t xml:space="preserve"> </w:t>
      </w:r>
      <w:r>
        <w:rPr>
          <w:b/>
          <w:bCs/>
        </w:rPr>
        <w:t xml:space="preserve">supersede</w:t>
      </w:r>
      <w:r>
        <w:t xml:space="preserve"> </w:t>
      </w:r>
      <w:r>
        <w:t xml:space="preserve">the corresponding sections in: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CROWN_UNIVERSAL_SUSTAINED_ECONOMIC_PROSPERITY_BP078.md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UNIVERSAL_PROSPERITY_PAPER_FOR_RATIFY_2026-06-11.md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5"/>
        </w:numPr>
      </w:pPr>
      <w:r>
        <w:t xml:space="preserve">All canonical-current copies inside</w:t>
      </w:r>
      <w:r>
        <w:t xml:space="preserve"> </w:t>
      </w:r>
      <w:r>
        <w:rPr>
          <w:rStyle w:val="VerbatimChar"/>
        </w:rPr>
        <w:t xml:space="preserve">Asteroid-ProofVault/PAPERS/Universal_Prosperity_ALL_VERSIONS/</w:t>
      </w:r>
      <w:r>
        <w:t xml:space="preserve"> </w:t>
      </w:r>
      <w:r>
        <w:t xml:space="preserve">that descend from the BP078 / RATIFY-2026-06-11 lineage</w:t>
      </w:r>
    </w:p>
    <w:p>
      <w:pPr>
        <w:pStyle w:val="FirstParagraph"/>
      </w:pPr>
      <w:r>
        <w:rPr>
          <w:b/>
          <w:bCs/>
        </w:rPr>
        <w:t xml:space="preserve">Priority order for integration: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Correction 2 (Birthright Mechanic)</w:t>
      </w:r>
      <w:r>
        <w:t xml:space="preserve"> </w:t>
      </w:r>
      <w:r>
        <w:t xml:space="preserve">— touches the most legally sensitive language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Correction 3 (Joules Complete Mechanics)</w:t>
      </w:r>
      <w:r>
        <w:t xml:space="preserve"> </w:t>
      </w:r>
      <w:r>
        <w:t xml:space="preserve">— expands and replaces the partial definition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Correction 1 (Medallion Cascade)</w:t>
      </w:r>
      <w:r>
        <w:t xml:space="preserve"> </w:t>
      </w:r>
      <w:r>
        <w:t xml:space="preserve">— language fix, lower risk but important for public-facing versions</w:t>
      </w:r>
    </w:p>
    <w:p>
      <w:pPr>
        <w:pStyle w:val="FirstParagraph"/>
      </w:pPr>
      <w:r>
        <w:rPr>
          <w:b/>
          <w:bCs/>
        </w:rPr>
        <w:t xml:space="preserve">Do NOT integrate into:</w:t>
      </w:r>
    </w:p>
    <w:p>
      <w:pPr>
        <w:pStyle w:val="Compact"/>
        <w:numPr>
          <w:ilvl w:val="0"/>
          <w:numId w:val="1007"/>
        </w:numPr>
      </w:pPr>
      <w:r>
        <w:t xml:space="preserve">Archive versions (FORAGER_BP035_ARCHIVE2Apr, b063 groups) — these are historical records, leave intact</w:t>
      </w:r>
    </w:p>
    <w:p>
      <w:pPr>
        <w:pStyle w:val="Compact"/>
        <w:numPr>
          <w:ilvl w:val="0"/>
          <w:numId w:val="1007"/>
        </w:numPr>
      </w:pPr>
      <w:r>
        <w:t xml:space="preserve">Upekrithen-Trunk historical archive copies — leave intact</w:t>
      </w:r>
    </w:p>
    <w:p>
      <w:pPr>
        <w:pStyle w:val="Compact"/>
        <w:numPr>
          <w:ilvl w:val="0"/>
          <w:numId w:val="1007"/>
        </w:numPr>
      </w:pPr>
      <w:r>
        <w:t xml:space="preserve">The Versions Index — update only the canonical pointer to reflect this BP081-superseding-canonical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Locked: June 12, 2026 — J. Jones / Liana Banyan Corporation</w:t>
      </w:r>
      <w:r>
        <w:t xml:space="preserve"> </w:t>
      </w:r>
      <w:r>
        <w:rPr>
          <w:b/>
          <w:bCs/>
        </w:rPr>
        <w:t xml:space="preserve">Session corrections confirmed by Founder before file generation.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Canonical Corrections — Liana Banyan Economic Model</dc:title>
  <dc:creator/>
  <cp:keywords/>
  <dcterms:created xsi:type="dcterms:W3CDTF">2026-06-13T04:24:09Z</dcterms:created>
  <dcterms:modified xsi:type="dcterms:W3CDTF">2026-06-13T04:24:09Z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es_NOT_supersede">
    <vt:lpwstr/>
  </property>
  <property fmtid="{D5CDD505-2E9C-101B-9397-08002B2CF9AE}" pid="3" name="integration_priority">
    <vt:lpwstr/>
  </property>
  <property fmtid="{D5CDD505-2E9C-101B-9397-08002B2CF9AE}" pid="4" name="locked_at">
    <vt:lpwstr>2026-06-12</vt:lpwstr>
  </property>
  <property fmtid="{D5CDD505-2E9C-101B-9397-08002B2CF9AE}" pid="5" name="locked_by">
    <vt:lpwstr>J. Jones / Liana Banyan Corporation (Founder direct ratify)</vt:lpwstr>
  </property>
  <property fmtid="{D5CDD505-2E9C-101B-9397-08002B2CF9AE}" pid="6" name="session">
    <vt:lpwstr>BP081</vt:lpwstr>
  </property>
  <property fmtid="{D5CDD505-2E9C-101B-9397-08002B2CF9AE}" pid="7" name="status">
    <vt:lpwstr>CANONICAL · SUPERSEDES corresponding sections</vt:lpwstr>
  </property>
  <property fmtid="{D5CDD505-2E9C-101B-9397-08002B2CF9AE}" pid="8" name="supersedes_sections_in">
    <vt:lpwstr/>
  </property>
</Properties>
</file>