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8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</w:tblGrid>
      <w:tr>
        <w:trPr>
          <w:trHeight w:val="829" w:hRule="atLeast"/>
        </w:trPr>
        <w:tc>
          <w:tcPr>
            <w:tcW w:w="8820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right" w:pos="9360" w:leader="none"/>
              </w:tabs>
              <w:suppressAutoHyphens w:val="true"/>
              <w:jc w:val="center"/>
              <w:rPr>
                <w:rFonts w:ascii="Trebuchet MS;Trebuchet MS" w:hAnsi="Trebuchet MS;Trebuchet MS" w:cs="Arial;Arial"/>
                <w:b/>
                <w:b/>
                <w:sz w:val="18"/>
                <w:szCs w:val="18"/>
                <w:lang w:val="es-ES_tradnl"/>
              </w:rPr>
            </w:pPr>
            <w:r>
              <w:rPr>
                <w:rFonts w:cs="Arial;Arial" w:ascii="Trebuchet MS;Trebuchet MS" w:hAnsi="Trebuchet MS;Trebuchet MS"/>
                <w:b/>
                <w:sz w:val="18"/>
                <w:szCs w:val="18"/>
                <w:lang w:val="es-ES_tradnl"/>
              </w:rPr>
              <w:t>PÓLIZA DE SEGURO DE TODO RIESGO DE DAÑOS A LA PROPIEDAD</w:t>
            </w:r>
          </w:p>
          <w:p>
            <w:pPr>
              <w:pStyle w:val="Normal"/>
              <w:ind w:left="640" w:firstLine="80"/>
              <w:jc w:val="center"/>
              <w:rPr>
                <w:rFonts w:ascii="Trebuchet MS;Trebuchet MS" w:hAnsi="Trebuchet MS;Trebuchet MS" w:cs="Arial;Arial"/>
                <w:b/>
                <w:b/>
                <w:spacing w:val="-2"/>
                <w:sz w:val="18"/>
                <w:szCs w:val="18"/>
                <w:lang w:val="es-ES_tradnl"/>
              </w:rPr>
            </w:pPr>
            <w:r>
              <w:rPr>
                <w:rFonts w:cs="Arial;Arial" w:ascii="Trebuchet MS;Trebuchet MS" w:hAnsi="Trebuchet MS;Trebuchet MS"/>
                <w:b/>
                <w:spacing w:val="-2"/>
                <w:sz w:val="18"/>
                <w:szCs w:val="18"/>
                <w:lang w:val="es-ES_tradnl"/>
              </w:rPr>
              <w:t>Código Asignado 115-910101-2007 06 001</w:t>
            </w:r>
          </w:p>
          <w:p>
            <w:pPr>
              <w:pStyle w:val="Normal"/>
              <w:ind w:left="640" w:firstLine="80"/>
              <w:rPr/>
            </w:pPr>
            <w:r>
              <w:rPr>
                <w:rFonts w:eastAsia="Trebuchet MS;Trebuchet MS" w:cs="Trebuchet MS;Trebuchet MS" w:ascii="Trebuchet MS;Trebuchet MS" w:hAnsi="Trebuchet MS;Trebuchet MS"/>
                <w:b/>
                <w:spacing w:val="-2"/>
                <w:sz w:val="18"/>
                <w:szCs w:val="18"/>
                <w:lang w:val="es-ES_tradnl"/>
              </w:rPr>
              <w:t xml:space="preserve">           </w:t>
            </w:r>
            <w:r>
              <w:rPr>
                <w:rFonts w:cs="Arial;Arial" w:ascii="Trebuchet MS;Trebuchet MS" w:hAnsi="Trebuchet MS;Trebuchet MS"/>
                <w:b/>
                <w:spacing w:val="-2"/>
                <w:sz w:val="18"/>
                <w:szCs w:val="18"/>
                <w:lang w:val="es-ES_tradnl"/>
              </w:rPr>
              <w:t>RESOLUCIÓN ADMINISTRATIVA /SPVS/IS/No. 577 de fecha 18 de Julio de 2007</w:t>
            </w:r>
          </w:p>
          <w:p>
            <w:pPr>
              <w:pStyle w:val="Normal"/>
              <w:ind w:left="640" w:firstLine="80"/>
              <w:jc w:val="center"/>
              <w:rPr>
                <w:rFonts w:ascii="Trebuchet MS;Trebuchet MS" w:hAnsi="Trebuchet MS;Trebuchet MS" w:cs="Arial;Arial"/>
                <w:b/>
                <w:b/>
                <w:spacing w:val="-2"/>
                <w:sz w:val="18"/>
                <w:szCs w:val="18"/>
                <w:lang w:val="es-ES_tradnl"/>
              </w:rPr>
            </w:pPr>
            <w:r>
              <w:rPr>
                <w:rFonts w:cs="Arial;Arial" w:ascii="Trebuchet MS;Trebuchet MS" w:hAnsi="Trebuchet MS;Trebuchet MS"/>
                <w:b/>
                <w:spacing w:val="-2"/>
                <w:sz w:val="18"/>
                <w:szCs w:val="18"/>
                <w:lang w:val="es-ES_tradnl"/>
              </w:rPr>
            </w:r>
          </w:p>
          <w:p>
            <w:pPr>
              <w:pStyle w:val="Heading1"/>
              <w:widowControl w:val="false"/>
              <w:suppressAutoHyphens w:val="true"/>
              <w:spacing w:before="0" w:after="0"/>
              <w:jc w:val="center"/>
              <w:rPr>
                <w:rFonts w:ascii="Trebuchet MS;Trebuchet MS" w:hAnsi="Trebuchet MS;Trebuchet MS" w:cs="Trebuchet MS;Trebuchet MS"/>
                <w:sz w:val="18"/>
                <w:szCs w:val="18"/>
              </w:rPr>
            </w:pPr>
            <w:r>
              <w:rPr>
                <w:rFonts w:cs="Trebuchet MS;Trebuchet MS" w:ascii="Trebuchet MS;Trebuchet MS" w:hAnsi="Trebuchet MS;Trebuchet MS"/>
                <w:bCs w:val="false"/>
                <w:spacing w:val="-2"/>
                <w:kern w:val="0"/>
                <w:sz w:val="18"/>
                <w:szCs w:val="18"/>
                <w:lang w:val="es-ES_tradnl"/>
              </w:rPr>
              <w:t>CLÁUSULA DE ADELANTO DEL 50% EN CASO DE SINIESTRO</w:t>
            </w:r>
          </w:p>
        </w:tc>
      </w:tr>
    </w:tbl>
    <w:p>
      <w:pPr>
        <w:pStyle w:val="Normal"/>
        <w:ind w:left="2160" w:hanging="0"/>
        <w:rPr>
          <w:rFonts w:ascii="Trebuchet MS;Trebuchet MS" w:hAnsi="Trebuchet MS;Trebuchet MS"/>
          <w:b/>
          <w:b/>
          <w:spacing w:val="-2"/>
          <w:sz w:val="18"/>
          <w:szCs w:val="18"/>
          <w:lang w:val="es-ES_tradnl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06 001-2794</w:t>
      </w:r>
    </w:p>
    <w:p>
      <w:pPr>
        <w:pStyle w:val="Normal"/>
        <w:jc w:val="center"/>
        <w:rPr/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/APS/DS/No. 199-2011 de fecha 02 de agosto de 2011</w:t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</w:rPr>
        <w:t>Se deja expresa constancia, mediante esta Cláusula, que: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/>
      </w:pPr>
      <w:r>
        <w:rPr>
          <w:rFonts w:cs="Trebuchet MS;Trebuchet MS" w:ascii="Trebuchet MS;Trebuchet MS" w:hAnsi="Trebuchet MS;Trebuchet MS"/>
          <w:spacing w:val="-2"/>
          <w:sz w:val="18"/>
          <w:szCs w:val="18"/>
        </w:rPr>
        <w:t>Ocurrido un eventual siniestro amparado por la Póliza, y habiéndose establecido mediante un peritaje inicial la procedencia del siniestro y</w:t>
      </w:r>
      <w:r>
        <w:rPr>
          <w:rFonts w:cs="Trebuchet MS;Trebuchet MS" w:ascii="Trebuchet MS;Trebuchet MS" w:hAnsi="Trebuchet MS;Trebuchet MS"/>
          <w:color w:val="FF0000"/>
          <w:spacing w:val="-2"/>
          <w:sz w:val="18"/>
          <w:szCs w:val="18"/>
        </w:rPr>
        <w:t xml:space="preserve"> </w:t>
      </w:r>
      <w:r>
        <w:rPr>
          <w:rFonts w:cs="Trebuchet MS;Trebuchet MS" w:ascii="Trebuchet MS;Trebuchet MS" w:hAnsi="Trebuchet MS;Trebuchet MS"/>
          <w:spacing w:val="-2"/>
          <w:sz w:val="18"/>
          <w:szCs w:val="18"/>
        </w:rPr>
        <w:t>el monto aproximado de los daños, la Compañía, adelantará al Asegurado hasta un importe equivalente al 50% (Cincuenta por Ciento), de dicho monto.</w:t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720" w:leader="none"/>
        </w:tabs>
        <w:ind w:left="720" w:hanging="360"/>
        <w:jc w:val="both"/>
        <w:rPr/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</w:rPr>
        <w:t>2.</w:t>
      </w:r>
      <w:r>
        <w:rPr>
          <w:rFonts w:cs="Trebuchet MS;Trebuchet MS" w:ascii="Trebuchet MS;Trebuchet MS" w:hAnsi="Trebuchet MS;Trebuchet MS"/>
          <w:spacing w:val="-2"/>
          <w:sz w:val="18"/>
          <w:szCs w:val="18"/>
        </w:rPr>
        <w:tab/>
        <w:t>Una vez realizado el ajuste final de las pérdidas y/o daños acaecidos en dicho siniestro, la Compañía y el Asegurado, se comprometen a proceder de la siguiente manera: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1440" w:leader="none"/>
          <w:tab w:val="left" w:pos="2160" w:leader="none"/>
        </w:tabs>
        <w:suppressAutoHyphens w:val="true"/>
        <w:ind w:left="1440" w:hanging="7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</w:rPr>
        <w:t>Si el adelanto otorgado por la Compañía, fuera inferior al monto total a indemnizar, la diferencia entre ambas cantidades, será cancelada de acuerdo al plazo establecido por el Condicionado General de la Póliza.</w:t>
      </w:r>
    </w:p>
    <w:p>
      <w:pPr>
        <w:pStyle w:val="Normal"/>
        <w:tabs>
          <w:tab w:val="clear" w:pos="708"/>
          <w:tab w:val="left" w:pos="1440" w:leader="none"/>
        </w:tabs>
        <w:ind w:left="1440" w:hanging="7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1440" w:leader="none"/>
          <w:tab w:val="left" w:pos="2160" w:leader="none"/>
        </w:tabs>
        <w:suppressAutoHyphens w:val="true"/>
        <w:ind w:left="1440" w:hanging="7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</w:rPr>
        <w:t>Si el adelanto otorgado por la Compañía, fuera superior al monto total a indemnizar, el Asegurado, deberá devolver el exceso percibido, debiendo efectuar dicha devolución en un plazo máximo de 72 horas.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</w:rPr>
        <w:t>Queda por lo tanto, sin efecto, cualquier disposición General o Especial, impuesta en la Póliza, que pueda oponerse a lo expresado en esta Cláusula.</w:t>
      </w:r>
    </w:p>
    <w:p>
      <w:pPr>
        <w:pStyle w:val="Textoindependiente2"/>
        <w:rPr>
          <w:rFonts w:ascii="Trebuchet MS;Trebuchet MS" w:hAnsi="Trebuchet MS;Trebuchet MS" w:cs="Trebuchet MS;Trebuchet MS"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NACIONAL SEGUROS PATRIMONIALES Y FIANZAS S.A.”</w:t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</w:r>
    </w:p>
    <w:p>
      <w:pPr>
        <w:pStyle w:val="Normal"/>
        <w:widowControl w:val="false"/>
        <w:suppressAutoHyphens w:val="true"/>
        <w:jc w:val="center"/>
        <w:rPr>
          <w:rFonts w:ascii="Trebuchet MS;Trebuchet MS" w:hAnsi="Trebuchet MS;Trebuchet MS" w:cs="Arial;Arial"/>
          <w:b/>
          <w:b/>
          <w:spacing w:val="-3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3"/>
          <w:sz w:val="18"/>
          <w:szCs w:val="18"/>
          <w:lang w:val="es-ES_tradnl"/>
        </w:rPr>
      </w:r>
    </w:p>
    <w:p>
      <w:pPr>
        <w:pStyle w:val="Normal"/>
        <w:widowControl w:val="false"/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</w:r>
    </w:p>
    <w:sectPr>
      <w:type w:val="nextPage"/>
      <w:pgSz w:w="12240" w:h="15840"/>
      <w:pgMar w:left="1701" w:right="1701" w:gutter="0" w:header="0" w:top="226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;Arial" w:hAnsi="Arial;Arial" w:cs="Arial;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;Arial" w:hAnsi="Arial;Arial" w:cs="Arial;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;Arial" w:hAnsi="Arial;Arial" w:eastAsia="Times New Roman;Times New Roman" w:cs="Arial;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character" w:styleId="Textoindependiente2Car">
    <w:name w:val="Texto independiente 2 Car"/>
    <w:qFormat/>
    <w:rPr>
      <w:sz w:val="24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2010-09-09T07:57:00Z</dcterms:created>
  <dc:creator>Luis Enrique</dc:creator>
  <dc:description/>
  <cp:keywords/>
  <dc:language>en-US</dc:language>
  <cp:lastModifiedBy>Franz Brian Muñoz Nery</cp:lastModifiedBy>
  <cp:lastPrinted>2015-06-26T16:07:00Z</cp:lastPrinted>
  <dcterms:modified xsi:type="dcterms:W3CDTF">2015-06-26T16:08:00Z</dcterms:modified>
  <cp:revision>17</cp:revision>
  <dc:subject/>
  <dc:title>CLAUSULA DE EXTRATERRITORIALIDAD</dc:title>
</cp:coreProperties>
</file>