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9360" w:leader="none"/>
        </w:tabs>
        <w:suppressAutoHyphens w:val="true"/>
        <w:rPr>
          <w:rFonts w:ascii="Trebuchet MS" w:hAnsi="Trebuchet MS" w:cs="Arial;Arial"/>
          <w:b/>
          <w:b/>
          <w:spacing w:val="-2"/>
          <w:sz w:val="18"/>
          <w:szCs w:val="18"/>
          <w:lang w:val="es-ES_tradnl"/>
        </w:rPr>
      </w:pPr>
      <w:r>
        <w:rPr>
          <w:rFonts w:cs="Arial;Arial" w:ascii="Trebuchet MS" w:hAnsi="Trebuchet MS"/>
          <w:b/>
          <w:spacing w:val="-2"/>
          <w:sz w:val="18"/>
          <w:szCs w:val="18"/>
          <w:lang w:val="es-ES_tradnl"/>
        </w:rPr>
      </w:r>
    </w:p>
    <w:p>
      <w:pPr>
        <w:pStyle w:val="Normal"/>
        <w:tabs>
          <w:tab w:val="clear" w:pos="708"/>
          <w:tab w:val="right" w:pos="9360" w:leader="none"/>
        </w:tabs>
        <w:suppressAutoHyphens w:val="true"/>
        <w:jc w:val="center"/>
        <w:rPr>
          <w:rFonts w:ascii="Trebuchet MS" w:hAnsi="Trebuchet MS" w:cs="Arial;Arial"/>
          <w:b/>
          <w:b/>
          <w:spacing w:val="-2"/>
          <w:sz w:val="18"/>
          <w:szCs w:val="18"/>
          <w:lang w:val="es-ES_tradnl"/>
        </w:rPr>
      </w:pPr>
      <w:r>
        <w:rPr>
          <w:rFonts w:cs="Arial;Arial" w:ascii="Trebuchet MS" w:hAnsi="Trebuchet MS"/>
          <w:b/>
          <w:spacing w:val="-2"/>
          <w:sz w:val="18"/>
          <w:szCs w:val="18"/>
          <w:lang w:val="es-ES_tradnl"/>
        </w:rPr>
        <w:t>PÓLIZA DE SEGURO DE TODO RIESGO DE DAÑOS A LA PROPIEDAD</w:t>
      </w:r>
    </w:p>
    <w:p>
      <w:pPr>
        <w:pStyle w:val="Normal"/>
        <w:ind w:left="640" w:firstLine="80"/>
        <w:jc w:val="center"/>
        <w:rPr>
          <w:rFonts w:ascii="Trebuchet MS" w:hAnsi="Trebuchet MS" w:cs="Arial;Arial"/>
          <w:b/>
          <w:b/>
          <w:spacing w:val="-2"/>
          <w:sz w:val="18"/>
          <w:szCs w:val="18"/>
          <w:lang w:val="es-ES_tradnl"/>
        </w:rPr>
      </w:pPr>
      <w:r>
        <w:rPr>
          <w:rFonts w:cs="Arial;Arial" w:ascii="Trebuchet MS" w:hAnsi="Trebuchet MS"/>
          <w:b/>
          <w:spacing w:val="-2"/>
          <w:sz w:val="18"/>
          <w:szCs w:val="18"/>
          <w:lang w:val="es-ES_tradnl"/>
        </w:rPr>
        <w:t>Código Asignado 115-910101-2007 06 001</w:t>
      </w:r>
    </w:p>
    <w:p>
      <w:pPr>
        <w:pStyle w:val="Normal"/>
        <w:ind w:left="640" w:firstLine="80"/>
        <w:jc w:val="center"/>
        <w:rPr>
          <w:rFonts w:ascii="Trebuchet MS" w:hAnsi="Trebuchet MS" w:cs="Arial;Arial"/>
          <w:b/>
          <w:b/>
          <w:spacing w:val="-2"/>
          <w:sz w:val="18"/>
          <w:szCs w:val="18"/>
          <w:lang w:val="es-ES_tradnl"/>
        </w:rPr>
      </w:pPr>
      <w:r>
        <w:rPr>
          <w:rFonts w:cs="Arial;Arial" w:ascii="Trebuchet MS" w:hAnsi="Trebuchet MS"/>
          <w:b/>
          <w:spacing w:val="-2"/>
          <w:sz w:val="18"/>
          <w:szCs w:val="18"/>
          <w:lang w:val="es-ES_tradnl"/>
        </w:rPr>
        <w:t>RESOLUCIÓN ADMINISTRATIVA /SPVS/IS/No. 577 de fecha 18 de Julio de 2007</w:t>
      </w:r>
    </w:p>
    <w:p>
      <w:pPr>
        <w:pStyle w:val="Normal"/>
        <w:widowControl w:val="false"/>
        <w:rPr>
          <w:rFonts w:ascii="Trebuchet MS" w:hAnsi="Trebuchet MS" w:cs="Trebuchet MS"/>
          <w:b/>
          <w:b/>
          <w:spacing w:val="-2"/>
          <w:sz w:val="18"/>
          <w:szCs w:val="18"/>
          <w:lang w:val="es-ES_tradnl"/>
        </w:rPr>
      </w:pPr>
      <w:r>
        <w:rPr>
          <w:rFonts w:cs="Trebuchet MS" w:ascii="Trebuchet MS" w:hAnsi="Trebuchet MS"/>
          <w:b/>
          <w:spacing w:val="-2"/>
          <w:sz w:val="18"/>
          <w:szCs w:val="18"/>
          <w:lang w:val="es-ES_tradnl"/>
        </w:rPr>
      </w:r>
    </w:p>
    <w:p>
      <w:pPr>
        <w:pStyle w:val="Normal"/>
        <w:rPr>
          <w:rFonts w:ascii="Trebuchet MS" w:hAnsi="Trebuchet MS" w:cs="Arial;Arial"/>
          <w:sz w:val="18"/>
          <w:szCs w:val="18"/>
          <w:lang w:val="es-ES_tradnl"/>
        </w:rPr>
      </w:pPr>
      <w:r>
        <w:rPr>
          <w:rFonts w:cs="Arial;Arial" w:ascii="Trebuchet MS" w:hAnsi="Trebuchet MS"/>
          <w:sz w:val="18"/>
          <w:szCs w:val="18"/>
          <w:lang w:val="es-ES_tradnl"/>
        </w:rPr>
      </w:r>
    </w:p>
    <w:p>
      <w:pPr>
        <w:pStyle w:val="Normal"/>
        <w:jc w:val="center"/>
        <w:rPr>
          <w:rFonts w:ascii="Trebuchet MS" w:hAnsi="Trebuchet MS" w:cs="Arial;Arial"/>
          <w:b/>
          <w:b/>
          <w:spacing w:val="-2"/>
          <w:sz w:val="18"/>
          <w:szCs w:val="18"/>
          <w:lang w:val="es-ES_tradnl"/>
        </w:rPr>
      </w:pPr>
      <w:r>
        <w:rPr>
          <w:rFonts w:cs="Arial;Arial" w:ascii="Trebuchet MS" w:hAnsi="Trebuchet MS"/>
          <w:b/>
          <w:spacing w:val="-2"/>
          <w:sz w:val="18"/>
          <w:szCs w:val="18"/>
          <w:lang w:val="es-ES_tradnl"/>
        </w:rPr>
        <w:t>CLÁUSULA DE ARRENDAMIENTO</w:t>
      </w:r>
    </w:p>
    <w:p>
      <w:pPr>
        <w:pStyle w:val="Normal"/>
        <w:ind w:left="640" w:firstLine="80"/>
        <w:rPr>
          <w:rFonts w:ascii="Trebuchet MS" w:hAnsi="Trebuchet MS" w:cs="Arial;Arial"/>
          <w:b/>
          <w:b/>
          <w:spacing w:val="-2"/>
          <w:sz w:val="18"/>
          <w:szCs w:val="18"/>
          <w:lang w:val="es-ES_tradnl"/>
        </w:rPr>
      </w:pPr>
      <w:r>
        <w:rPr>
          <w:rFonts w:eastAsia="Trebuchet MS" w:cs="Trebuchet MS" w:ascii="Trebuchet MS" w:hAnsi="Trebuchet MS"/>
          <w:b/>
          <w:spacing w:val="-2"/>
          <w:sz w:val="18"/>
          <w:szCs w:val="18"/>
          <w:lang w:val="es-ES_tradnl"/>
        </w:rPr>
        <w:t xml:space="preserve">                                   </w:t>
      </w:r>
      <w:r>
        <w:rPr>
          <w:rFonts w:cs="Arial;Arial" w:ascii="Trebuchet MS" w:hAnsi="Trebuchet MS"/>
          <w:b/>
          <w:spacing w:val="-2"/>
          <w:sz w:val="18"/>
          <w:szCs w:val="18"/>
          <w:lang w:val="es-ES_tradnl"/>
        </w:rPr>
        <w:t>Código Asignado 115-910101-2007 06 001-2798</w:t>
      </w:r>
    </w:p>
    <w:p>
      <w:pPr>
        <w:pStyle w:val="Normal"/>
        <w:ind w:firstLine="708"/>
        <w:rPr/>
      </w:pPr>
      <w:r>
        <w:rPr>
          <w:rFonts w:eastAsia="Trebuchet MS" w:cs="Trebuchet MS" w:ascii="Trebuchet MS" w:hAnsi="Trebuchet MS"/>
          <w:b/>
          <w:spacing w:val="-2"/>
          <w:sz w:val="18"/>
          <w:szCs w:val="18"/>
          <w:lang w:val="es-ES_tradnl"/>
        </w:rPr>
        <w:t xml:space="preserve"> </w:t>
      </w:r>
      <w:r>
        <w:rPr>
          <w:rFonts w:cs="Arial;Arial" w:ascii="Trebuchet MS" w:hAnsi="Trebuchet MS"/>
          <w:b/>
          <w:spacing w:val="-2"/>
          <w:sz w:val="18"/>
          <w:szCs w:val="18"/>
          <w:lang w:val="es-ES_tradnl"/>
        </w:rPr>
        <w:t>RESOLUCIÓN ADMINISTRATIVA /APS/DS/No. 199-2011 de fecha 02 de agosto de 2011</w:t>
      </w:r>
    </w:p>
    <w:p>
      <w:pPr>
        <w:pStyle w:val="Normal"/>
        <w:jc w:val="center"/>
        <w:rPr>
          <w:rFonts w:ascii="Trebuchet MS" w:hAnsi="Trebuchet MS" w:cs="Arial;Arial"/>
          <w:b/>
          <w:b/>
          <w:spacing w:val="-2"/>
          <w:sz w:val="18"/>
          <w:szCs w:val="18"/>
          <w:lang w:val="es-ES_tradnl"/>
        </w:rPr>
      </w:pPr>
      <w:r>
        <w:rPr>
          <w:rFonts w:cs="Arial;Arial" w:ascii="Trebuchet MS" w:hAnsi="Trebuchet MS"/>
          <w:b/>
          <w:spacing w:val="-2"/>
          <w:sz w:val="18"/>
          <w:szCs w:val="18"/>
          <w:lang w:val="es-ES_tradnl"/>
        </w:rPr>
      </w:r>
    </w:p>
    <w:p>
      <w:pPr>
        <w:pStyle w:val="Normal"/>
        <w:jc w:val="center"/>
        <w:rPr>
          <w:rFonts w:ascii="Trebuchet MS" w:hAnsi="Trebuchet MS" w:cs="Arial;Arial"/>
          <w:b/>
          <w:b/>
          <w:spacing w:val="-2"/>
          <w:sz w:val="18"/>
          <w:szCs w:val="18"/>
          <w:lang w:val="es-ES_tradnl"/>
        </w:rPr>
      </w:pPr>
      <w:r>
        <w:rPr>
          <w:rFonts w:cs="Arial;Arial" w:ascii="Trebuchet MS" w:hAnsi="Trebuchet MS"/>
          <w:b/>
          <w:spacing w:val="-2"/>
          <w:sz w:val="18"/>
          <w:szCs w:val="18"/>
          <w:lang w:val="es-ES_tradnl"/>
        </w:rPr>
      </w:r>
    </w:p>
    <w:p>
      <w:pPr>
        <w:pStyle w:val="WWTextoindependiente3"/>
        <w:rPr>
          <w:rFonts w:ascii="Trebuchet MS" w:hAnsi="Trebuchet MS" w:cs="Arial;Arial"/>
          <w:sz w:val="18"/>
          <w:szCs w:val="18"/>
        </w:rPr>
      </w:pPr>
      <w:r>
        <w:rPr>
          <w:rFonts w:cs="Arial;Arial" w:ascii="Trebuchet MS" w:hAnsi="Trebuchet MS"/>
          <w:sz w:val="18"/>
          <w:szCs w:val="18"/>
        </w:rPr>
        <w:t>En consideración a la prima pagada por el Asegurado, la Compañía conviene, que si la propiedad descrita en la presente Póliza fuera destruida o dañada por Incendio que ocurra durante la vigencia de la Póliza, determinando la desocupación de cualquiera de las reparticiones de la propiedad afectada por el Incendio, la Compañía pagará al Asegurado:</w:t>
      </w:r>
    </w:p>
    <w:p>
      <w:pPr>
        <w:pStyle w:val="Normal"/>
        <w:jc w:val="both"/>
        <w:rPr>
          <w:rFonts w:ascii="Trebuchet MS" w:hAnsi="Trebuchet MS" w:cs="Arial;Arial"/>
          <w:sz w:val="18"/>
          <w:szCs w:val="18"/>
        </w:rPr>
      </w:pPr>
      <w:r>
        <w:rPr>
          <w:rFonts w:cs="Arial;Arial" w:ascii="Trebuchet MS" w:hAnsi="Trebuchet MS"/>
          <w:sz w:val="18"/>
          <w:szCs w:val="18"/>
        </w:rPr>
      </w:r>
    </w:p>
    <w:p>
      <w:pPr>
        <w:pStyle w:val="Normal"/>
        <w:widowControl w:val="false"/>
        <w:numPr>
          <w:ilvl w:val="0"/>
          <w:numId w:val="2"/>
        </w:numPr>
        <w:suppressAutoHyphens w:val="true"/>
        <w:jc w:val="both"/>
        <w:rPr/>
      </w:pPr>
      <w:r>
        <w:rPr>
          <w:rFonts w:cs="Arial;Arial" w:ascii="Trebuchet MS" w:hAnsi="Trebuchet MS"/>
          <w:sz w:val="18"/>
          <w:szCs w:val="18"/>
        </w:rPr>
        <w:t>En el caso de que la propiedad resulte totalmente inhabitable durante el tiempo estipulado, la suma estipulada en las condiciones particulares de la póliza que corresponde al valor convenido del arrendamiento por un plazo no mayor a un año calendario de la Propiedad.</w:t>
      </w:r>
    </w:p>
    <w:p>
      <w:pPr>
        <w:pStyle w:val="Normal"/>
        <w:widowControl w:val="false"/>
        <w:jc w:val="both"/>
        <w:rPr>
          <w:rFonts w:ascii="Trebuchet MS" w:hAnsi="Trebuchet MS" w:cs="Arial;Arial"/>
          <w:sz w:val="18"/>
          <w:szCs w:val="18"/>
        </w:rPr>
      </w:pPr>
      <w:r>
        <w:rPr>
          <w:rFonts w:cs="Arial;Arial" w:ascii="Trebuchet MS" w:hAnsi="Trebuchet MS"/>
          <w:sz w:val="18"/>
          <w:szCs w:val="18"/>
        </w:rPr>
      </w:r>
    </w:p>
    <w:p>
      <w:pPr>
        <w:pStyle w:val="Normal"/>
        <w:widowControl w:val="false"/>
        <w:numPr>
          <w:ilvl w:val="0"/>
          <w:numId w:val="2"/>
        </w:numPr>
        <w:suppressAutoHyphens w:val="true"/>
        <w:jc w:val="both"/>
        <w:rPr>
          <w:rFonts w:ascii="Trebuchet MS" w:hAnsi="Trebuchet MS" w:cs="Arial;Arial"/>
          <w:sz w:val="18"/>
          <w:szCs w:val="18"/>
        </w:rPr>
      </w:pPr>
      <w:r>
        <w:rPr>
          <w:rFonts w:cs="Arial;Arial" w:ascii="Trebuchet MS" w:hAnsi="Trebuchet MS"/>
          <w:sz w:val="18"/>
          <w:szCs w:val="18"/>
        </w:rPr>
        <w:t>En el caso que la propiedad resulte inhabitable durante parte del tiempo estipulado, la Compañía será responsable sólo por la parte del valor convenido que guarda proporción con el periodo en el que la propiedad se encuentre inhabitable, dentro del tiempo estipulado, sin exceder del tiempo necesario para reparar la propiedad hasta dejarla nuevamente en condiciones de habitarla.</w:t>
      </w:r>
    </w:p>
    <w:p>
      <w:pPr>
        <w:pStyle w:val="Normal"/>
        <w:widowControl w:val="false"/>
        <w:jc w:val="both"/>
        <w:rPr>
          <w:rFonts w:ascii="Trebuchet MS" w:hAnsi="Trebuchet MS" w:cs="Arial;Arial"/>
          <w:sz w:val="18"/>
          <w:szCs w:val="18"/>
        </w:rPr>
      </w:pPr>
      <w:r>
        <w:rPr>
          <w:rFonts w:cs="Arial;Arial" w:ascii="Trebuchet MS" w:hAnsi="Trebuchet MS"/>
          <w:sz w:val="18"/>
          <w:szCs w:val="18"/>
        </w:rPr>
      </w:r>
    </w:p>
    <w:p>
      <w:pPr>
        <w:pStyle w:val="Normal"/>
        <w:widowControl w:val="false"/>
        <w:jc w:val="both"/>
        <w:rPr>
          <w:rFonts w:ascii="Trebuchet MS" w:hAnsi="Trebuchet MS" w:cs="Arial;Arial"/>
          <w:sz w:val="18"/>
          <w:szCs w:val="18"/>
        </w:rPr>
      </w:pPr>
      <w:r>
        <w:rPr>
          <w:rFonts w:cs="Arial;Arial" w:ascii="Trebuchet MS" w:hAnsi="Trebuchet MS"/>
          <w:sz w:val="18"/>
          <w:szCs w:val="18"/>
        </w:rPr>
        <w:t>Si el Asegurado y la Compañía no pudieran ponerse de acuerdo respecto a la suma Indemnizable, la cuestión será sometida a arbitraje de acuerdo a lo establecido en las Condiciones Generales de esta Póliza.</w:t>
      </w:r>
    </w:p>
    <w:p>
      <w:pPr>
        <w:pStyle w:val="Normal"/>
        <w:jc w:val="both"/>
        <w:rPr>
          <w:rFonts w:ascii="Trebuchet MS" w:hAnsi="Trebuchet MS" w:cs="Arial;Arial"/>
          <w:sz w:val="18"/>
          <w:szCs w:val="18"/>
        </w:rPr>
      </w:pPr>
      <w:r>
        <w:rPr>
          <w:rFonts w:cs="Arial;Arial" w:ascii="Trebuchet MS" w:hAnsi="Trebuchet MS"/>
          <w:sz w:val="18"/>
          <w:szCs w:val="18"/>
        </w:rPr>
      </w:r>
    </w:p>
    <w:p>
      <w:pPr>
        <w:pStyle w:val="Normal"/>
        <w:jc w:val="both"/>
        <w:rPr>
          <w:rFonts w:ascii="Trebuchet MS" w:hAnsi="Trebuchet MS" w:cs="Arial;Arial"/>
          <w:b/>
          <w:b/>
          <w:sz w:val="18"/>
          <w:szCs w:val="18"/>
        </w:rPr>
      </w:pPr>
      <w:r>
        <w:rPr>
          <w:rFonts w:cs="Arial;Arial" w:ascii="Trebuchet MS" w:hAnsi="Trebuchet MS"/>
          <w:b/>
          <w:sz w:val="18"/>
          <w:szCs w:val="18"/>
        </w:rPr>
        <w:t>Definiciones</w:t>
      </w:r>
    </w:p>
    <w:p>
      <w:pPr>
        <w:pStyle w:val="Normal"/>
        <w:jc w:val="both"/>
        <w:rPr>
          <w:rFonts w:ascii="Trebuchet MS" w:hAnsi="Trebuchet MS" w:cs="Arial;Arial"/>
          <w:b/>
          <w:b/>
          <w:sz w:val="18"/>
          <w:szCs w:val="18"/>
        </w:rPr>
      </w:pPr>
      <w:r>
        <w:rPr>
          <w:rFonts w:cs="Arial;Arial" w:ascii="Trebuchet MS" w:hAnsi="Trebuchet MS"/>
          <w:b/>
          <w:sz w:val="18"/>
          <w:szCs w:val="18"/>
        </w:rPr>
      </w:r>
    </w:p>
    <w:p>
      <w:pPr>
        <w:pStyle w:val="Normal"/>
        <w:numPr>
          <w:ilvl w:val="0"/>
          <w:numId w:val="3"/>
        </w:numPr>
        <w:suppressAutoHyphens w:val="true"/>
        <w:jc w:val="both"/>
        <w:rPr>
          <w:rFonts w:ascii="Trebuchet MS" w:hAnsi="Trebuchet MS" w:cs="Arial;Arial"/>
          <w:sz w:val="18"/>
          <w:szCs w:val="18"/>
        </w:rPr>
      </w:pPr>
      <w:r>
        <w:rPr>
          <w:rFonts w:cs="Arial;Arial" w:ascii="Trebuchet MS" w:hAnsi="Trebuchet MS"/>
          <w:b/>
          <w:sz w:val="18"/>
          <w:szCs w:val="18"/>
        </w:rPr>
        <w:t xml:space="preserve">Tiempo Estipulado: </w:t>
      </w:r>
      <w:r>
        <w:rPr>
          <w:rFonts w:cs="Arial;Arial" w:ascii="Trebuchet MS" w:hAnsi="Trebuchet MS"/>
          <w:sz w:val="18"/>
          <w:szCs w:val="18"/>
        </w:rPr>
        <w:t>Es el periodo que comienza en la fecha de la ocurrencia de la destrucción o daño y termina a más tardar a los doce meses calendario posteriores al evento.</w:t>
      </w:r>
    </w:p>
    <w:p>
      <w:pPr>
        <w:pStyle w:val="Normal"/>
        <w:jc w:val="both"/>
        <w:rPr>
          <w:rFonts w:ascii="Trebuchet MS" w:hAnsi="Trebuchet MS" w:cs="Arial;Arial"/>
          <w:sz w:val="18"/>
          <w:szCs w:val="18"/>
        </w:rPr>
      </w:pPr>
      <w:r>
        <w:rPr>
          <w:rFonts w:cs="Arial;Arial" w:ascii="Trebuchet MS" w:hAnsi="Trebuchet MS"/>
          <w:sz w:val="18"/>
          <w:szCs w:val="18"/>
        </w:rPr>
      </w:r>
    </w:p>
    <w:p>
      <w:pPr>
        <w:pStyle w:val="Normal"/>
        <w:numPr>
          <w:ilvl w:val="0"/>
          <w:numId w:val="3"/>
        </w:numPr>
        <w:suppressAutoHyphens w:val="true"/>
        <w:jc w:val="both"/>
        <w:rPr/>
      </w:pPr>
      <w:r>
        <w:rPr>
          <w:rFonts w:cs="Arial;Arial" w:ascii="Trebuchet MS" w:hAnsi="Trebuchet MS"/>
          <w:b/>
          <w:sz w:val="18"/>
          <w:szCs w:val="18"/>
        </w:rPr>
        <w:t>Valor Convenido:</w:t>
      </w:r>
      <w:r>
        <w:rPr>
          <w:rFonts w:cs="Arial;Arial" w:ascii="Trebuchet MS" w:hAnsi="Trebuchet MS"/>
          <w:sz w:val="18"/>
          <w:szCs w:val="18"/>
        </w:rPr>
        <w:t xml:space="preserve"> Es el arrendamiento anual preestablecido.</w:t>
      </w:r>
    </w:p>
    <w:p>
      <w:pPr>
        <w:pStyle w:val="Normal"/>
        <w:jc w:val="center"/>
        <w:rPr>
          <w:rFonts w:ascii="Trebuchet MS" w:hAnsi="Trebuchet MS" w:cs="Trebuchet MS"/>
          <w:b/>
          <w:b/>
          <w:spacing w:val="-3"/>
          <w:sz w:val="18"/>
          <w:szCs w:val="18"/>
        </w:rPr>
      </w:pPr>
      <w:r>
        <w:rPr>
          <w:rFonts w:cs="Trebuchet MS" w:ascii="Trebuchet MS" w:hAnsi="Trebuchet MS"/>
          <w:b/>
          <w:spacing w:val="-3"/>
          <w:sz w:val="18"/>
          <w:szCs w:val="18"/>
        </w:rPr>
      </w:r>
    </w:p>
    <w:p>
      <w:pPr>
        <w:pStyle w:val="Normal"/>
        <w:ind w:right="44" w:hanging="0"/>
        <w:jc w:val="center"/>
        <w:rPr>
          <w:rFonts w:ascii="Trebuchet MS" w:hAnsi="Trebuchet MS" w:cs="Trebuchet MS"/>
          <w:b/>
          <w:b/>
          <w:spacing w:val="-3"/>
          <w:sz w:val="18"/>
          <w:szCs w:val="18"/>
        </w:rPr>
      </w:pPr>
      <w:r>
        <w:rPr>
          <w:rFonts w:cs="Trebuchet MS" w:ascii="Trebuchet MS" w:hAnsi="Trebuchet MS"/>
          <w:b/>
          <w:spacing w:val="-3"/>
          <w:sz w:val="18"/>
          <w:szCs w:val="18"/>
        </w:rPr>
      </w:r>
    </w:p>
    <w:p>
      <w:pPr>
        <w:pStyle w:val="Normal"/>
        <w:jc w:val="center"/>
        <w:rPr>
          <w:rFonts w:ascii="Trebuchet MS" w:hAnsi="Trebuchet MS" w:cs="Trebuchet MS"/>
          <w:b/>
          <w:b/>
          <w:sz w:val="18"/>
          <w:szCs w:val="18"/>
        </w:rPr>
      </w:pPr>
      <w:r>
        <w:rPr>
          <w:rFonts w:cs="Arial;Arial" w:ascii="Trebuchet MS" w:hAnsi="Trebuchet MS"/>
          <w:b/>
          <w:bCs/>
          <w:sz w:val="18"/>
          <w:szCs w:val="18"/>
          <w:lang w:val="es-ES_tradnl"/>
        </w:rPr>
        <w:t>NACIONAL SEGUROS PATRIMONIALES Y FIANZAS S.A.”</w:t>
      </w:r>
    </w:p>
    <w:p>
      <w:pPr>
        <w:pStyle w:val="Normal"/>
        <w:jc w:val="center"/>
        <w:rPr>
          <w:rFonts w:ascii="Trebuchet MS" w:hAnsi="Trebuchet MS" w:cs="Trebuchet MS"/>
          <w:b/>
          <w:b/>
          <w:sz w:val="18"/>
          <w:szCs w:val="18"/>
        </w:rPr>
      </w:pPr>
      <w:r>
        <w:rPr>
          <w:rFonts w:cs="Trebuchet MS" w:ascii="Trebuchet MS" w:hAnsi="Trebuchet MS"/>
          <w:b/>
          <w:sz w:val="18"/>
          <w:szCs w:val="18"/>
        </w:rPr>
      </w:r>
    </w:p>
    <w:p>
      <w:pPr>
        <w:pStyle w:val="Normal"/>
        <w:rPr>
          <w:rFonts w:ascii="Trebuchet MS" w:hAnsi="Trebuchet MS" w:cs="Arial;Arial"/>
          <w:b/>
          <w:b/>
          <w:spacing w:val="-2"/>
          <w:sz w:val="18"/>
          <w:szCs w:val="18"/>
        </w:rPr>
      </w:pPr>
      <w:r>
        <w:rPr>
          <w:rFonts w:cs="Arial;Arial" w:ascii="Trebuchet MS" w:hAnsi="Trebuchet MS"/>
          <w:b/>
          <w:spacing w:val="-2"/>
          <w:sz w:val="18"/>
          <w:szCs w:val="18"/>
        </w:rPr>
      </w:r>
    </w:p>
    <w:p>
      <w:pPr>
        <w:pStyle w:val="Normal"/>
        <w:jc w:val="center"/>
        <w:rPr>
          <w:rFonts w:ascii="Trebuchet MS" w:hAnsi="Trebuchet MS" w:cs="Arial;Arial"/>
          <w:spacing w:val="-2"/>
          <w:sz w:val="18"/>
          <w:szCs w:val="18"/>
        </w:rPr>
      </w:pPr>
      <w:r>
        <w:rPr>
          <w:rFonts w:cs="Arial;Arial" w:ascii="Trebuchet MS" w:hAnsi="Trebuchet MS"/>
          <w:spacing w:val="-2"/>
          <w:sz w:val="18"/>
          <w:szCs w:val="18"/>
        </w:rPr>
      </w:r>
    </w:p>
    <w:sectPr>
      <w:headerReference w:type="default" r:id="rId2"/>
      <w:footerReference w:type="default" r:id="rId3"/>
      <w:type w:val="nextPage"/>
      <w:pgSz w:w="12240" w:h="15840"/>
      <w:pgMar w:left="1701" w:right="1701"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Courier New">
    <w:charset w:val="00"/>
    <w:family w:val="modern"/>
    <w:pitch w:val="default"/>
  </w:font>
  <w:font w:name="StarBats">
    <w:charset w:val="02"/>
    <w:family w:val="auto"/>
    <w:pitch w:val="variable"/>
  </w:font>
  <w:font w:name="Wingdings">
    <w:charset w:val="02"/>
    <w:family w:val="auto"/>
    <w:pitch w:val="variable"/>
  </w:font>
  <w:font w:name="Liberation Sans">
    <w:altName w:val="Arial"/>
    <w:charset w:val="01"/>
    <w:family w:val="swiss"/>
    <w:pitch w:val="variable"/>
  </w:font>
  <w:font w:name="Arial (W1)">
    <w:charset w:val="00"/>
    <w:family w:val="swiss"/>
    <w:pitch w:val="variable"/>
  </w:font>
  <w:font w:name="Trebuchet M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rPr/>
    </w:pPr>
    <w:r>
      <w:rPr>
        <w:rFonts w:cs="Trebuchet MS" w:ascii="Trebuchet MS" w:hAnsi="Trebuchet MS"/>
        <w:lang w:val="es-ES_tradnl"/>
      </w:rPr>
      <w:tab/>
      <w:tab/>
      <w:t xml:space="preserve">    Página </w:t>
    </w:r>
    <w:r>
      <w:rPr>
        <w:rFonts w:cs="Trebuchet MS" w:ascii="Trebuchet MS" w:hAnsi="Trebuchet MS"/>
        <w:lang w:val="es-ES_tradnl"/>
      </w:rPr>
      <w:fldChar w:fldCharType="begin"/>
    </w:r>
    <w:r>
      <w:rPr>
        <w:rFonts w:cs="Trebuchet MS" w:ascii="Trebuchet MS" w:hAnsi="Trebuchet MS"/>
        <w:lang w:val="es-ES_tradnl"/>
      </w:rPr>
      <w:instrText xml:space="preserve"> PAGE </w:instrText>
    </w:r>
    <w:r>
      <w:rPr>
        <w:rFonts w:cs="Trebuchet MS" w:ascii="Trebuchet MS" w:hAnsi="Trebuchet MS"/>
        <w:lang w:val="es-ES_tradnl"/>
      </w:rPr>
      <w:fldChar w:fldCharType="separate"/>
    </w:r>
    <w:r>
      <w:rPr>
        <w:rFonts w:cs="Trebuchet MS" w:ascii="Trebuchet MS" w:hAnsi="Trebuchet MS"/>
        <w:lang w:val="es-ES_tradnl"/>
      </w:rPr>
      <w:t>1</w:t>
    </w:r>
    <w:r>
      <w:rPr>
        <w:rFonts w:cs="Trebuchet MS" w:ascii="Trebuchet MS" w:hAnsi="Trebuchet MS"/>
        <w:lang w:val="es-ES_tradnl"/>
      </w:rPr>
      <w:fldChar w:fldCharType="end"/>
    </w:r>
    <w:r>
      <w:rPr>
        <w:rFonts w:cs="Trebuchet MS" w:ascii="Trebuchet MS" w:hAnsi="Trebuchet MS"/>
        <w:lang w:val="es-ES_tradnl"/>
      </w:rPr>
      <w:t xml:space="preserve"> de </w:t>
    </w:r>
    <w:r>
      <w:rPr>
        <w:rFonts w:cs="Trebuchet MS" w:ascii="Trebuchet MS" w:hAnsi="Trebuchet MS"/>
        <w:lang w:val="es-ES_tradnl"/>
      </w:rPr>
      <w:fldChar w:fldCharType="begin"/>
    </w:r>
    <w:r>
      <w:rPr>
        <w:rFonts w:cs="Trebuchet MS" w:ascii="Trebuchet MS" w:hAnsi="Trebuchet MS"/>
        <w:lang w:val="es-ES_tradnl"/>
      </w:rPr>
      <w:instrText xml:space="preserve"> NUMPAGES \* ARABIC </w:instrText>
    </w:r>
    <w:r>
      <w:rPr>
        <w:rFonts w:cs="Trebuchet MS" w:ascii="Trebuchet MS" w:hAnsi="Trebuchet MS"/>
        <w:lang w:val="es-ES_tradnl"/>
      </w:rPr>
      <w:fldChar w:fldCharType="separate"/>
    </w:r>
    <w:r>
      <w:rPr>
        <w:rFonts w:cs="Trebuchet MS" w:ascii="Trebuchet MS" w:hAnsi="Trebuchet MS"/>
        <w:lang w:val="es-ES_tradnl"/>
      </w:rPr>
      <w:t>1</w:t>
    </w:r>
    <w:r>
      <w:rPr>
        <w:rFonts w:cs="Trebuchet MS" w:ascii="Trebuchet MS" w:hAnsi="Trebuchet MS"/>
        <w:lang w:val="es-ES_tradn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b/>
      </w:rPr>
    </w:lvl>
    <w:lvl w:ilvl="1">
      <w:start w:val="1"/>
      <w:numFmt w:val="decimal"/>
      <w:suff w:val="nothing"/>
      <w:lvlText w:val="%2."/>
      <w:lvlJc w:val="left"/>
      <w:pPr>
        <w:tabs>
          <w:tab w:val="num" w:pos="0"/>
        </w:tabs>
        <w:ind w:left="566" w:hanging="283"/>
      </w:pPr>
    </w:lvl>
    <w:lvl w:ilvl="2">
      <w:start w:val="1"/>
      <w:numFmt w:val="decimal"/>
      <w:suff w:val="nothing"/>
      <w:lvlText w:val="%3."/>
      <w:lvlJc w:val="left"/>
      <w:pPr>
        <w:tabs>
          <w:tab w:val="num" w:pos="0"/>
        </w:tabs>
        <w:ind w:left="849" w:hanging="283"/>
      </w:pPr>
    </w:lvl>
    <w:lvl w:ilvl="3">
      <w:start w:val="1"/>
      <w:numFmt w:val="decimal"/>
      <w:suff w:val="nothing"/>
      <w:lvlText w:val="%4."/>
      <w:lvlJc w:val="left"/>
      <w:pPr>
        <w:tabs>
          <w:tab w:val="num" w:pos="0"/>
        </w:tabs>
        <w:ind w:left="1132" w:hanging="283"/>
      </w:pPr>
    </w:lvl>
    <w:lvl w:ilvl="4">
      <w:start w:val="1"/>
      <w:numFmt w:val="decimal"/>
      <w:suff w:val="nothing"/>
      <w:lvlText w:val="%5."/>
      <w:lvlJc w:val="left"/>
      <w:pPr>
        <w:tabs>
          <w:tab w:val="num" w:pos="0"/>
        </w:tabs>
        <w:ind w:left="1415" w:hanging="283"/>
      </w:pPr>
    </w:lvl>
    <w:lvl w:ilvl="5">
      <w:start w:val="1"/>
      <w:numFmt w:val="decimal"/>
      <w:suff w:val="nothing"/>
      <w:lvlText w:val="%6."/>
      <w:lvlJc w:val="left"/>
      <w:pPr>
        <w:tabs>
          <w:tab w:val="num" w:pos="0"/>
        </w:tabs>
        <w:ind w:left="1698" w:hanging="283"/>
      </w:pPr>
    </w:lvl>
    <w:lvl w:ilvl="6">
      <w:start w:val="1"/>
      <w:numFmt w:val="decimal"/>
      <w:suff w:val="nothing"/>
      <w:lvlText w:val="%7."/>
      <w:lvlJc w:val="left"/>
      <w:pPr>
        <w:tabs>
          <w:tab w:val="num" w:pos="0"/>
        </w:tabs>
        <w:ind w:left="1981" w:hanging="283"/>
      </w:pPr>
    </w:lvl>
    <w:lvl w:ilvl="7">
      <w:start w:val="1"/>
      <w:numFmt w:val="decimal"/>
      <w:suff w:val="nothing"/>
      <w:lvlText w:val="%8."/>
      <w:lvlJc w:val="left"/>
      <w:pPr>
        <w:tabs>
          <w:tab w:val="num" w:pos="0"/>
        </w:tabs>
        <w:ind w:left="2264" w:hanging="283"/>
      </w:pPr>
    </w:lvl>
    <w:lvl w:ilvl="8">
      <w:start w:val="1"/>
      <w:numFmt w:val="decimal"/>
      <w:suff w:val="nothing"/>
      <w:lvlText w:val="%9."/>
      <w:lvlJc w:val="left"/>
      <w:pPr>
        <w:tabs>
          <w:tab w:val="num" w:pos="0"/>
        </w:tabs>
        <w:ind w:left="2547" w:hanging="283"/>
      </w:pPr>
    </w:lvl>
  </w:abstractNum>
  <w:abstractNum w:abstractNumId="3">
    <w:lvl w:ilvl="0">
      <w:start w:val="1"/>
      <w:numFmt w:val="decimal"/>
      <w:lvlText w:val="%1."/>
      <w:lvlJc w:val="left"/>
      <w:pPr>
        <w:tabs>
          <w:tab w:val="num" w:pos="720"/>
        </w:tabs>
        <w:ind w:left="720" w:hanging="36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Arial" w:hAnsi="Arial;Arial" w:cs="Arial;Arial"/>
      <w:b/>
      <w:bCs/>
      <w:kern w:val="2"/>
      <w:sz w:val="32"/>
      <w:szCs w:val="32"/>
    </w:rPr>
  </w:style>
  <w:style w:type="paragraph" w:styleId="Heading2">
    <w:name w:val="Heading 2"/>
    <w:basedOn w:val="Normal"/>
    <w:next w:val="Normal"/>
    <w:qFormat/>
    <w:pPr>
      <w:keepNext w:val="true"/>
      <w:numPr>
        <w:ilvl w:val="1"/>
        <w:numId w:val="1"/>
      </w:numPr>
      <w:jc w:val="center"/>
      <w:outlineLvl w:val="1"/>
    </w:pPr>
    <w:rPr>
      <w:rFonts w:ascii="Arial;Arial" w:hAnsi="Arial;Arial" w:cs="Arial;Arial"/>
      <w:b/>
      <w:sz w:val="16"/>
      <w:lang w:val="es-MX"/>
    </w:rPr>
  </w:style>
  <w:style w:type="paragraph" w:styleId="Heading3">
    <w:name w:val="Heading 3"/>
    <w:basedOn w:val="Normal"/>
    <w:next w:val="Normal"/>
    <w:qFormat/>
    <w:pPr>
      <w:keepNext w:val="true"/>
      <w:numPr>
        <w:ilvl w:val="2"/>
        <w:numId w:val="1"/>
      </w:numPr>
      <w:suppressAutoHyphens w:val="true"/>
      <w:spacing w:before="240" w:after="60"/>
      <w:outlineLvl w:val="2"/>
    </w:pPr>
    <w:rPr>
      <w:rFonts w:ascii="Arial;Arial" w:hAnsi="Arial;Arial" w:cs="Arial;Arial"/>
      <w:b/>
      <w:bCs/>
      <w:sz w:val="26"/>
      <w:szCs w:val="26"/>
      <w:lang w:val="es-CO"/>
    </w:rPr>
  </w:style>
  <w:style w:type="paragraph" w:styleId="Heading5">
    <w:name w:val="Heading 5"/>
    <w:basedOn w:val="Normal"/>
    <w:next w:val="Normal"/>
    <w:qFormat/>
    <w:pPr>
      <w:widowControl w:val="false"/>
      <w:numPr>
        <w:ilvl w:val="4"/>
        <w:numId w:val="1"/>
      </w:numPr>
      <w:suppressAutoHyphens w:val="true"/>
      <w:spacing w:before="240" w:after="60"/>
      <w:outlineLvl w:val="4"/>
    </w:pPr>
    <w:rPr>
      <w:rFonts w:ascii="Courier New" w:hAnsi="Courier New" w:cs="Courier New"/>
      <w:b/>
      <w:bCs/>
      <w:i/>
      <w:iCs/>
      <w:sz w:val="26"/>
      <w:szCs w:val="26"/>
    </w:rPr>
  </w:style>
  <w:style w:type="paragraph" w:styleId="Heading8">
    <w:name w:val="Heading 8"/>
    <w:basedOn w:val="Normal"/>
    <w:next w:val="Normal"/>
    <w:qFormat/>
    <w:pPr>
      <w:numPr>
        <w:ilvl w:val="7"/>
        <w:numId w:val="1"/>
      </w:numPr>
      <w:suppressAutoHyphens w:val="true"/>
      <w:spacing w:before="240" w:after="60"/>
      <w:outlineLvl w:val="7"/>
    </w:pPr>
    <w:rPr>
      <w:i/>
      <w:iCs/>
      <w:sz w:val="24"/>
      <w:szCs w:val="24"/>
      <w:lang w:val="es-CO"/>
    </w:rPr>
  </w:style>
  <w:style w:type="character" w:styleId="WW8Num2z0">
    <w:name w:val="WW8Num2z0"/>
    <w:qFormat/>
    <w:rPr>
      <w:b/>
    </w:rPr>
  </w:style>
  <w:style w:type="character" w:styleId="WW8Num4z0">
    <w:name w:val="WW8Num4z0"/>
    <w:qFormat/>
    <w:rPr>
      <w:b/>
    </w:rPr>
  </w:style>
  <w:style w:type="character" w:styleId="WW8Num6z0">
    <w:name w:val="WW8Num6z0"/>
    <w:qFormat/>
    <w:rPr>
      <w:b/>
    </w:rPr>
  </w:style>
  <w:style w:type="character" w:styleId="WW8Num8z0">
    <w:name w:val="WW8Num8z0"/>
    <w:qFormat/>
    <w:rPr>
      <w:b/>
    </w:rPr>
  </w:style>
  <w:style w:type="character" w:styleId="WW8Num10z0">
    <w:name w:val="WW8Num10z0"/>
    <w:qFormat/>
    <w:rPr>
      <w:b/>
    </w:rPr>
  </w:style>
  <w:style w:type="character" w:styleId="WW8Num11z0">
    <w:name w:val="WW8Num11z0"/>
    <w:qFormat/>
    <w:rPr>
      <w:b/>
    </w:rPr>
  </w:style>
  <w:style w:type="character" w:styleId="WW8Num12z0">
    <w:name w:val="WW8Num12z0"/>
    <w:qFormat/>
    <w:rPr>
      <w:b/>
    </w:rPr>
  </w:style>
  <w:style w:type="character" w:styleId="WW8Num12z1">
    <w:name w:val="WW8Num12z1"/>
    <w:qFormat/>
    <w:rPr>
      <w:rFonts w:ascii="StarBats" w:hAnsi="StarBats" w:cs="StarBats"/>
    </w:rPr>
  </w:style>
  <w:style w:type="character" w:styleId="WW8Num13z0">
    <w:name w:val="WW8Num13z0"/>
    <w:qFormat/>
    <w:rPr>
      <w:b/>
    </w:rPr>
  </w:style>
  <w:style w:type="character" w:styleId="WW8Num14z0">
    <w:name w:val="WW8Num14z0"/>
    <w:qFormat/>
    <w:rPr>
      <w:b/>
    </w:rPr>
  </w:style>
  <w:style w:type="character" w:styleId="WW8Num15z0">
    <w:name w:val="WW8Num15z0"/>
    <w:qFormat/>
    <w:rPr>
      <w:b/>
    </w:rPr>
  </w:style>
  <w:style w:type="character" w:styleId="WW8Num16z0">
    <w:name w:val="WW8Num16z0"/>
    <w:qFormat/>
    <w:rPr>
      <w:b/>
    </w:rPr>
  </w:style>
  <w:style w:type="character" w:styleId="WW8Num17z0">
    <w:name w:val="WW8Num17z0"/>
    <w:qFormat/>
    <w:rPr>
      <w:b/>
    </w:rPr>
  </w:style>
  <w:style w:type="character" w:styleId="WW8Num18z0">
    <w:name w:val="WW8Num18z0"/>
    <w:qFormat/>
    <w:rPr/>
  </w:style>
  <w:style w:type="character" w:styleId="WW8Num19z0">
    <w:name w:val="WW8Num19z0"/>
    <w:qFormat/>
    <w:rPr>
      <w:b/>
    </w:rPr>
  </w:style>
  <w:style w:type="character" w:styleId="WW8Num20z0">
    <w:name w:val="WW8Num20z0"/>
    <w:qFormat/>
    <w:rPr>
      <w:b/>
    </w:rPr>
  </w:style>
  <w:style w:type="character" w:styleId="WW8Num21z0">
    <w:name w:val="WW8Num21z0"/>
    <w:qFormat/>
    <w:rPr>
      <w:b/>
    </w:rPr>
  </w:style>
  <w:style w:type="character" w:styleId="WW8Num22z0">
    <w:name w:val="WW8Num22z0"/>
    <w:qFormat/>
    <w:rPr>
      <w:b/>
    </w:rPr>
  </w:style>
  <w:style w:type="character" w:styleId="WW8Num22z1">
    <w:name w:val="WW8Num22z1"/>
    <w:qFormat/>
    <w:rPr>
      <w:b/>
    </w:rPr>
  </w:style>
  <w:style w:type="character" w:styleId="WW8Num23z0">
    <w:name w:val="WW8Num23z0"/>
    <w:qFormat/>
    <w:rPr>
      <w:b/>
    </w:rPr>
  </w:style>
  <w:style w:type="character" w:styleId="WW8Num24z0">
    <w:name w:val="WW8Num24z0"/>
    <w:qFormat/>
    <w:rPr>
      <w:b/>
    </w:rPr>
  </w:style>
  <w:style w:type="character" w:styleId="WW8Num25z0">
    <w:name w:val="WW8Num25z0"/>
    <w:qFormat/>
    <w:rPr>
      <w:b/>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b/>
    </w:rPr>
  </w:style>
  <w:style w:type="character" w:styleId="WW8Num29z0">
    <w:name w:val="WW8Num29z0"/>
    <w:qFormat/>
    <w:rPr>
      <w:b/>
    </w:rPr>
  </w:style>
  <w:style w:type="character" w:styleId="WW8Num30z0">
    <w:name w:val="WW8Num30z0"/>
    <w:qFormat/>
    <w:rPr>
      <w:b/>
    </w:rPr>
  </w:style>
  <w:style w:type="character" w:styleId="WW8Num31z0">
    <w:name w:val="WW8Num31z0"/>
    <w:qFormat/>
    <w:rPr>
      <w:b/>
    </w:rPr>
  </w:style>
  <w:style w:type="character" w:styleId="WW8Num32z0">
    <w:name w:val="WW8Num32z0"/>
    <w:qFormat/>
    <w:rPr>
      <w:b/>
    </w:rPr>
  </w:style>
  <w:style w:type="character" w:styleId="WW8Num33z0">
    <w:name w:val="WW8Num33z0"/>
    <w:qFormat/>
    <w:rPr>
      <w:b/>
    </w:rPr>
  </w:style>
  <w:style w:type="character" w:styleId="WW8Num34z0">
    <w:name w:val="WW8Num34z0"/>
    <w:qFormat/>
    <w:rPr>
      <w:b/>
    </w:rPr>
  </w:style>
  <w:style w:type="character" w:styleId="WW8Num35z0">
    <w:name w:val="WW8Num35z0"/>
    <w:qFormat/>
    <w:rPr>
      <w:b/>
    </w:rPr>
  </w:style>
  <w:style w:type="character" w:styleId="WW8Num36z0">
    <w:name w:val="WW8Num36z0"/>
    <w:qFormat/>
    <w:rPr>
      <w:b/>
    </w:rPr>
  </w:style>
  <w:style w:type="character" w:styleId="WW8Num38z0">
    <w:name w:val="WW8Num38z0"/>
    <w:qFormat/>
    <w:rPr>
      <w:b/>
    </w:rPr>
  </w:style>
  <w:style w:type="character" w:styleId="WW8Num39z0">
    <w:name w:val="WW8Num39z0"/>
    <w:qFormat/>
    <w:rPr>
      <w:b/>
    </w:rPr>
  </w:style>
  <w:style w:type="character" w:styleId="WW8Num40z0">
    <w:name w:val="WW8Num40z0"/>
    <w:qFormat/>
    <w:rPr>
      <w:b/>
    </w:rPr>
  </w:style>
  <w:style w:type="character" w:styleId="WW8Num41z0">
    <w:name w:val="WW8Num41z0"/>
    <w:qFormat/>
    <w:rPr>
      <w:b/>
    </w:rPr>
  </w:style>
  <w:style w:type="character" w:styleId="WW8Num42z0">
    <w:name w:val="WW8Num42z0"/>
    <w:qFormat/>
    <w:rPr>
      <w:b/>
    </w:rPr>
  </w:style>
  <w:style w:type="character" w:styleId="WW8Num43z0">
    <w:name w:val="WW8Num43z0"/>
    <w:qFormat/>
    <w:rPr>
      <w:b/>
    </w:rPr>
  </w:style>
  <w:style w:type="character" w:styleId="WW8Num44z0">
    <w:name w:val="WW8Num44z0"/>
    <w:qFormat/>
    <w:rPr>
      <w:b/>
    </w:rPr>
  </w:style>
  <w:style w:type="character" w:styleId="WW8Num45z0">
    <w:name w:val="WW8Num45z0"/>
    <w:qFormat/>
    <w:rPr>
      <w:b/>
    </w:rPr>
  </w:style>
  <w:style w:type="character" w:styleId="WW8Num46z0">
    <w:name w:val="WW8Num46z0"/>
    <w:qFormat/>
    <w:rPr>
      <w:b/>
    </w:rPr>
  </w:style>
  <w:style w:type="character" w:styleId="WW8Num47z0">
    <w:name w:val="WW8Num47z0"/>
    <w:qFormat/>
    <w:rPr>
      <w:b/>
    </w:rPr>
  </w:style>
  <w:style w:type="character" w:styleId="WW8Num48z0">
    <w:name w:val="WW8Num48z0"/>
    <w:qFormat/>
    <w:rPr>
      <w:b/>
    </w:rPr>
  </w:style>
  <w:style w:type="character" w:styleId="WW8Num49z0">
    <w:name w:val="WW8Num49z0"/>
    <w:qFormat/>
    <w:rPr>
      <w:b/>
    </w:rPr>
  </w:style>
  <w:style w:type="character" w:styleId="WW8Num50z0">
    <w:name w:val="WW8Num50z0"/>
    <w:qFormat/>
    <w:rPr>
      <w:b/>
    </w:rPr>
  </w:style>
  <w:style w:type="character" w:styleId="WW8Num51z0">
    <w:name w:val="WW8Num51z0"/>
    <w:qFormat/>
    <w:rPr>
      <w:b/>
    </w:rPr>
  </w:style>
  <w:style w:type="character" w:styleId="WW8Num52z0">
    <w:name w:val="WW8Num52z0"/>
    <w:qFormat/>
    <w:rPr>
      <w:b/>
    </w:rPr>
  </w:style>
  <w:style w:type="character" w:styleId="WW8Num53z0">
    <w:name w:val="WW8Num53z0"/>
    <w:qFormat/>
    <w:rPr>
      <w:b/>
    </w:rPr>
  </w:style>
  <w:style w:type="character" w:styleId="WW8Num54z0">
    <w:name w:val="WW8Num54z0"/>
    <w:qFormat/>
    <w:rPr>
      <w:b/>
    </w:rPr>
  </w:style>
  <w:style w:type="character" w:styleId="WW8Num56z0">
    <w:name w:val="WW8Num56z0"/>
    <w:qFormat/>
    <w:rPr>
      <w:b/>
    </w:rPr>
  </w:style>
  <w:style w:type="character" w:styleId="WW8Num57z0">
    <w:name w:val="WW8Num57z0"/>
    <w:qFormat/>
    <w:rPr>
      <w:b/>
    </w:rPr>
  </w:style>
  <w:style w:type="character" w:styleId="WW8Num58z0">
    <w:name w:val="WW8Num58z0"/>
    <w:qFormat/>
    <w:rPr>
      <w:b/>
    </w:rPr>
  </w:style>
  <w:style w:type="character" w:styleId="WW8Num60z0">
    <w:name w:val="WW8Num60z0"/>
    <w:qFormat/>
    <w:rPr>
      <w:b/>
    </w:rPr>
  </w:style>
  <w:style w:type="character" w:styleId="WW8Num61z0">
    <w:name w:val="WW8Num61z0"/>
    <w:qFormat/>
    <w:rPr>
      <w:b/>
    </w:rPr>
  </w:style>
  <w:style w:type="character" w:styleId="WW8Num62z0">
    <w:name w:val="WW8Num62z0"/>
    <w:qFormat/>
    <w:rPr>
      <w:b/>
    </w:rPr>
  </w:style>
  <w:style w:type="character" w:styleId="WW8Num62z2">
    <w:name w:val="WW8Num62z2"/>
    <w:qFormat/>
    <w:rPr>
      <w:b/>
    </w:rPr>
  </w:style>
  <w:style w:type="character" w:styleId="WW8Num63z0">
    <w:name w:val="WW8Num63z0"/>
    <w:qFormat/>
    <w:rPr>
      <w:b/>
    </w:rPr>
  </w:style>
  <w:style w:type="character" w:styleId="WW8Num64z0">
    <w:name w:val="WW8Num64z0"/>
    <w:qFormat/>
    <w:rPr>
      <w:b/>
    </w:rPr>
  </w:style>
  <w:style w:type="character" w:styleId="WW8Num65z0">
    <w:name w:val="WW8Num65z0"/>
    <w:qFormat/>
    <w:rPr>
      <w:b/>
    </w:rPr>
  </w:style>
  <w:style w:type="character" w:styleId="WW8Num66z0">
    <w:name w:val="WW8Num66z0"/>
    <w:qFormat/>
    <w:rPr>
      <w:b/>
    </w:rPr>
  </w:style>
  <w:style w:type="character" w:styleId="WW8Num66z1">
    <w:name w:val="WW8Num66z1"/>
    <w:qFormat/>
    <w:rPr/>
  </w:style>
  <w:style w:type="character" w:styleId="WW8Num67z0">
    <w:name w:val="WW8Num67z0"/>
    <w:qFormat/>
    <w:rPr>
      <w:b/>
    </w:rPr>
  </w:style>
  <w:style w:type="character" w:styleId="WW8Num68z0">
    <w:name w:val="WW8Num68z0"/>
    <w:qFormat/>
    <w:rPr>
      <w:b/>
    </w:rPr>
  </w:style>
  <w:style w:type="character" w:styleId="WW8Num69z0">
    <w:name w:val="WW8Num69z0"/>
    <w:qFormat/>
    <w:rPr>
      <w:b/>
    </w:rPr>
  </w:style>
  <w:style w:type="character" w:styleId="WW8Num70z0">
    <w:name w:val="WW8Num70z0"/>
    <w:qFormat/>
    <w:rPr>
      <w:b/>
    </w:rPr>
  </w:style>
  <w:style w:type="character" w:styleId="WW8Num71z0">
    <w:name w:val="WW8Num71z0"/>
    <w:qFormat/>
    <w:rPr>
      <w:b/>
    </w:rPr>
  </w:style>
  <w:style w:type="character" w:styleId="WW8Num72z0">
    <w:name w:val="WW8Num72z0"/>
    <w:qFormat/>
    <w:rPr>
      <w:b/>
    </w:rPr>
  </w:style>
  <w:style w:type="character" w:styleId="WW8Num73z0">
    <w:name w:val="WW8Num73z0"/>
    <w:qFormat/>
    <w:rPr>
      <w:b/>
    </w:rPr>
  </w:style>
  <w:style w:type="character" w:styleId="WW8Num74z0">
    <w:name w:val="WW8Num74z0"/>
    <w:qFormat/>
    <w:rPr>
      <w:b/>
    </w:rPr>
  </w:style>
  <w:style w:type="character" w:styleId="WW8Num75z0">
    <w:name w:val="WW8Num75z0"/>
    <w:qFormat/>
    <w:rPr>
      <w:b/>
    </w:rPr>
  </w:style>
  <w:style w:type="character" w:styleId="WW8Num76z0">
    <w:name w:val="WW8Num76z0"/>
    <w:qFormat/>
    <w:rPr>
      <w:b/>
    </w:rPr>
  </w:style>
  <w:style w:type="character" w:styleId="WW8Num77z0">
    <w:name w:val="WW8Num77z0"/>
    <w:qFormat/>
    <w:rPr>
      <w:b/>
    </w:rPr>
  </w:style>
  <w:style w:type="character" w:styleId="WW8Num78z0">
    <w:name w:val="WW8Num78z0"/>
    <w:qFormat/>
    <w:rPr>
      <w:b/>
    </w:rPr>
  </w:style>
  <w:style w:type="character" w:styleId="WW8Num79z0">
    <w:name w:val="WW8Num79z0"/>
    <w:qFormat/>
    <w:rPr>
      <w:b/>
    </w:rPr>
  </w:style>
  <w:style w:type="character" w:styleId="WW8Num80z0">
    <w:name w:val="WW8Num80z0"/>
    <w:qFormat/>
    <w:rPr>
      <w:b/>
    </w:rPr>
  </w:style>
  <w:style w:type="character" w:styleId="WW8Num81z0">
    <w:name w:val="WW8Num81z0"/>
    <w:qFormat/>
    <w:rPr>
      <w:b/>
    </w:rPr>
  </w:style>
  <w:style w:type="character" w:styleId="WW8Num82z0">
    <w:name w:val="WW8Num82z0"/>
    <w:qFormat/>
    <w:rPr>
      <w:b/>
    </w:rPr>
  </w:style>
  <w:style w:type="character" w:styleId="WW8Num83z0">
    <w:name w:val="WW8Num83z0"/>
    <w:qFormat/>
    <w:rPr>
      <w:b/>
    </w:rPr>
  </w:style>
  <w:style w:type="character" w:styleId="WW8Num84z0">
    <w:name w:val="WW8Num84z0"/>
    <w:qFormat/>
    <w:rPr>
      <w:b/>
    </w:rPr>
  </w:style>
  <w:style w:type="character" w:styleId="WW8Num85z0">
    <w:name w:val="WW8Num85z0"/>
    <w:qFormat/>
    <w:rPr>
      <w:b/>
    </w:rPr>
  </w:style>
  <w:style w:type="character" w:styleId="WW8Num86z0">
    <w:name w:val="WW8Num86z0"/>
    <w:qFormat/>
    <w:rPr>
      <w:b/>
    </w:rPr>
  </w:style>
  <w:style w:type="character" w:styleId="WW8Num87z0">
    <w:name w:val="WW8Num87z0"/>
    <w:qFormat/>
    <w:rPr>
      <w:b/>
    </w:rPr>
  </w:style>
  <w:style w:type="character" w:styleId="WW8Num88z0">
    <w:name w:val="WW8Num88z0"/>
    <w:qFormat/>
    <w:rPr>
      <w:b/>
    </w:rPr>
  </w:style>
  <w:style w:type="character" w:styleId="WW8Num89z0">
    <w:name w:val="WW8Num89z0"/>
    <w:qFormat/>
    <w:rPr>
      <w:b/>
    </w:rPr>
  </w:style>
  <w:style w:type="character" w:styleId="WW8Num90z0">
    <w:name w:val="WW8Num90z0"/>
    <w:qFormat/>
    <w:rPr>
      <w:b/>
    </w:rPr>
  </w:style>
  <w:style w:type="character" w:styleId="WW8Num91z0">
    <w:name w:val="WW8Num91z0"/>
    <w:qFormat/>
    <w:rPr>
      <w:b/>
    </w:rPr>
  </w:style>
  <w:style w:type="character" w:styleId="WW8Num92z0">
    <w:name w:val="WW8Num92z0"/>
    <w:qFormat/>
    <w:rPr>
      <w:b/>
    </w:rPr>
  </w:style>
  <w:style w:type="character" w:styleId="WW8Num93z0">
    <w:name w:val="WW8Num93z0"/>
    <w:qFormat/>
    <w:rPr>
      <w:b/>
    </w:rPr>
  </w:style>
  <w:style w:type="character" w:styleId="WW8Num94z0">
    <w:name w:val="WW8Num94z0"/>
    <w:qFormat/>
    <w:rPr>
      <w:rFonts w:ascii="Symbol" w:hAnsi="Symbol" w:cs="Symbo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5z0">
    <w:name w:val="WW8Num95z0"/>
    <w:qFormat/>
    <w:rPr>
      <w:b/>
    </w:rPr>
  </w:style>
  <w:style w:type="character" w:styleId="WW8Num96z0">
    <w:name w:val="WW8Num96z0"/>
    <w:qFormat/>
    <w:rPr>
      <w:b/>
    </w:rPr>
  </w:style>
  <w:style w:type="character" w:styleId="WW8Num96z2">
    <w:name w:val="WW8Num96z2"/>
    <w:qFormat/>
    <w:rPr>
      <w:rFonts w:ascii="Arial;Arial" w:hAnsi="Arial;Arial" w:eastAsia="Times New Roman;Times New Roman" w:cs="Arial;Arial"/>
    </w:rPr>
  </w:style>
  <w:style w:type="character" w:styleId="WW8Num96z3">
    <w:name w:val="WW8Num96z3"/>
    <w:qFormat/>
    <w:rPr>
      <w:b/>
    </w:rPr>
  </w:style>
  <w:style w:type="character" w:styleId="WW8Num97z0">
    <w:name w:val="WW8Num97z0"/>
    <w:qFormat/>
    <w:rPr>
      <w:b/>
    </w:rPr>
  </w:style>
  <w:style w:type="character" w:styleId="WW8Num98z0">
    <w:name w:val="WW8Num98z0"/>
    <w:qFormat/>
    <w:rPr>
      <w:b/>
    </w:rPr>
  </w:style>
  <w:style w:type="character" w:styleId="WW8Num99z0">
    <w:name w:val="WW8Num99z0"/>
    <w:qFormat/>
    <w:rPr>
      <w:b/>
    </w:rPr>
  </w:style>
  <w:style w:type="character" w:styleId="WW8Num100z0">
    <w:name w:val="WW8Num100z0"/>
    <w:qFormat/>
    <w:rPr>
      <w:b/>
    </w:rPr>
  </w:style>
  <w:style w:type="character" w:styleId="WW8Num101z0">
    <w:name w:val="WW8Num101z0"/>
    <w:qFormat/>
    <w:rPr>
      <w:b/>
    </w:rPr>
  </w:style>
  <w:style w:type="character" w:styleId="WW8Num102z0">
    <w:name w:val="WW8Num102z0"/>
    <w:qFormat/>
    <w:rPr>
      <w:b/>
    </w:rPr>
  </w:style>
  <w:style w:type="character" w:styleId="WW8Num103z0">
    <w:name w:val="WW8Num103z0"/>
    <w:qFormat/>
    <w:rPr>
      <w:b/>
    </w:rPr>
  </w:style>
  <w:style w:type="character" w:styleId="WW8Num104z0">
    <w:name w:val="WW8Num104z0"/>
    <w:qFormat/>
    <w:rPr>
      <w:b/>
    </w:rPr>
  </w:style>
  <w:style w:type="character" w:styleId="WW8Num105z0">
    <w:name w:val="WW8Num105z0"/>
    <w:qFormat/>
    <w:rPr>
      <w:b/>
    </w:rPr>
  </w:style>
  <w:style w:type="character" w:styleId="WW8Num106z0">
    <w:name w:val="WW8Num106z0"/>
    <w:qFormat/>
    <w:rPr>
      <w:b/>
    </w:rPr>
  </w:style>
  <w:style w:type="character" w:styleId="WW8Num108z0">
    <w:name w:val="WW8Num108z0"/>
    <w:qFormat/>
    <w:rPr>
      <w:b/>
    </w:rPr>
  </w:style>
  <w:style w:type="character" w:styleId="WW8Num109z0">
    <w:name w:val="WW8Num109z0"/>
    <w:qFormat/>
    <w:rPr>
      <w:b/>
    </w:rPr>
  </w:style>
  <w:style w:type="character" w:styleId="WW8Num110z0">
    <w:name w:val="WW8Num110z0"/>
    <w:qFormat/>
    <w:rPr>
      <w:b/>
    </w:rPr>
  </w:style>
  <w:style w:type="character" w:styleId="WW8Num111z0">
    <w:name w:val="WW8Num111z0"/>
    <w:qFormat/>
    <w:rPr>
      <w:b/>
    </w:rPr>
  </w:style>
  <w:style w:type="character" w:styleId="WW8Num113z0">
    <w:name w:val="WW8Num113z0"/>
    <w:qFormat/>
    <w:rPr>
      <w:b/>
    </w:rPr>
  </w:style>
  <w:style w:type="character" w:styleId="WW8Num114z0">
    <w:name w:val="WW8Num114z0"/>
    <w:qFormat/>
    <w:rPr>
      <w:b/>
    </w:rPr>
  </w:style>
  <w:style w:type="character" w:styleId="WW8Num115z0">
    <w:name w:val="WW8Num115z0"/>
    <w:qFormat/>
    <w:rPr>
      <w:b/>
    </w:rPr>
  </w:style>
  <w:style w:type="character" w:styleId="WW8Num116z0">
    <w:name w:val="WW8Num116z0"/>
    <w:qFormat/>
    <w:rPr>
      <w:b/>
    </w:rPr>
  </w:style>
  <w:style w:type="character" w:styleId="WW8Num117z0">
    <w:name w:val="WW8Num117z0"/>
    <w:qFormat/>
    <w:rPr>
      <w:b/>
    </w:rPr>
  </w:style>
  <w:style w:type="character" w:styleId="WW8Num118z0">
    <w:name w:val="WW8Num118z0"/>
    <w:qFormat/>
    <w:rPr>
      <w:b/>
    </w:rPr>
  </w:style>
  <w:style w:type="character" w:styleId="WW8Num119z0">
    <w:name w:val="WW8Num119z0"/>
    <w:qFormat/>
    <w:rPr>
      <w:b/>
    </w:rPr>
  </w:style>
  <w:style w:type="character" w:styleId="WW8Num120z0">
    <w:name w:val="WW8Num120z0"/>
    <w:qFormat/>
    <w:rPr>
      <w:b/>
    </w:rPr>
  </w:style>
  <w:style w:type="character" w:styleId="WW8Num121z0">
    <w:name w:val="WW8Num121z0"/>
    <w:qFormat/>
    <w:rPr>
      <w:b/>
    </w:rPr>
  </w:style>
  <w:style w:type="character" w:styleId="WW8Num122z0">
    <w:name w:val="WW8Num122z0"/>
    <w:qFormat/>
    <w:rPr>
      <w:b/>
    </w:rPr>
  </w:style>
  <w:style w:type="character" w:styleId="WW8Num123z0">
    <w:name w:val="WW8Num123z0"/>
    <w:qFormat/>
    <w:rPr>
      <w:b/>
    </w:rPr>
  </w:style>
  <w:style w:type="character" w:styleId="WW8Num124z0">
    <w:name w:val="WW8Num124z0"/>
    <w:qFormat/>
    <w:rPr>
      <w:b/>
    </w:rPr>
  </w:style>
  <w:style w:type="character" w:styleId="WW8Num126z0">
    <w:name w:val="WW8Num126z0"/>
    <w:qFormat/>
    <w:rPr>
      <w:b/>
    </w:rPr>
  </w:style>
  <w:style w:type="character" w:styleId="WW8Num126z2">
    <w:name w:val="WW8Num126z2"/>
    <w:qFormat/>
    <w:rPr/>
  </w:style>
  <w:style w:type="character" w:styleId="WW8Num127z0">
    <w:name w:val="WW8Num127z0"/>
    <w:qFormat/>
    <w:rPr>
      <w:b/>
    </w:rPr>
  </w:style>
  <w:style w:type="character" w:styleId="WW8Num129z0">
    <w:name w:val="WW8Num129z0"/>
    <w:qFormat/>
    <w:rPr>
      <w:b/>
    </w:rPr>
  </w:style>
  <w:style w:type="character" w:styleId="WW8Num130z0">
    <w:name w:val="WW8Num130z0"/>
    <w:qFormat/>
    <w:rPr>
      <w:b/>
    </w:rPr>
  </w:style>
  <w:style w:type="character" w:styleId="WW8Num131z0">
    <w:name w:val="WW8Num131z0"/>
    <w:qFormat/>
    <w:rPr>
      <w:b/>
    </w:rPr>
  </w:style>
  <w:style w:type="character" w:styleId="WW8Num132z0">
    <w:name w:val="WW8Num132z0"/>
    <w:qFormat/>
    <w:rPr>
      <w:b/>
    </w:rPr>
  </w:style>
  <w:style w:type="character" w:styleId="WW8Num133z0">
    <w:name w:val="WW8Num133z0"/>
    <w:qFormat/>
    <w:rPr>
      <w:b/>
    </w:rPr>
  </w:style>
  <w:style w:type="character" w:styleId="WW8Num134z0">
    <w:name w:val="WW8Num134z0"/>
    <w:qFormat/>
    <w:rPr>
      <w:b/>
    </w:rPr>
  </w:style>
  <w:style w:type="character" w:styleId="WW8Num135z0">
    <w:name w:val="WW8Num135z0"/>
    <w:qFormat/>
    <w:rPr>
      <w:b/>
    </w:rPr>
  </w:style>
  <w:style w:type="character" w:styleId="WW8Num136z0">
    <w:name w:val="WW8Num136z0"/>
    <w:qFormat/>
    <w:rPr>
      <w:b/>
    </w:rPr>
  </w:style>
  <w:style w:type="character" w:styleId="WW8Num137z0">
    <w:name w:val="WW8Num137z0"/>
    <w:qFormat/>
    <w:rPr>
      <w:b/>
    </w:rPr>
  </w:style>
  <w:style w:type="character" w:styleId="WW8Num137z1">
    <w:name w:val="WW8Num137z1"/>
    <w:qFormat/>
    <w:rPr/>
  </w:style>
  <w:style w:type="character" w:styleId="WW8Num138z0">
    <w:name w:val="WW8Num138z0"/>
    <w:qFormat/>
    <w:rPr>
      <w:b/>
    </w:rPr>
  </w:style>
  <w:style w:type="character" w:styleId="WW8Num139z0">
    <w:name w:val="WW8Num139z0"/>
    <w:qFormat/>
    <w:rPr>
      <w:b/>
    </w:rPr>
  </w:style>
  <w:style w:type="character" w:styleId="WW8Num140z0">
    <w:name w:val="WW8Num140z0"/>
    <w:qFormat/>
    <w:rPr>
      <w:b/>
    </w:rPr>
  </w:style>
  <w:style w:type="character" w:styleId="WW8Num142z0">
    <w:name w:val="WW8Num142z0"/>
    <w:qFormat/>
    <w:rPr>
      <w:b/>
    </w:rPr>
  </w:style>
  <w:style w:type="character" w:styleId="WW8Num143z0">
    <w:name w:val="WW8Num143z0"/>
    <w:qFormat/>
    <w:rPr>
      <w:b/>
    </w:rPr>
  </w:style>
  <w:style w:type="character" w:styleId="WW8Num145z0">
    <w:name w:val="WW8Num145z0"/>
    <w:qFormat/>
    <w:rPr>
      <w:b/>
    </w:rPr>
  </w:style>
  <w:style w:type="character" w:styleId="WW8Num146z0">
    <w:name w:val="WW8Num146z0"/>
    <w:qFormat/>
    <w:rPr>
      <w:b/>
    </w:rPr>
  </w:style>
  <w:style w:type="character" w:styleId="WW8Num147z0">
    <w:name w:val="WW8Num147z0"/>
    <w:qFormat/>
    <w:rPr>
      <w:b/>
    </w:rPr>
  </w:style>
  <w:style w:type="character" w:styleId="WW8Num148z0">
    <w:name w:val="WW8Num148z0"/>
    <w:qFormat/>
    <w:rPr>
      <w:b/>
    </w:rPr>
  </w:style>
  <w:style w:type="character" w:styleId="WW8Num149z0">
    <w:name w:val="WW8Num149z0"/>
    <w:qFormat/>
    <w:rPr>
      <w:b/>
    </w:rPr>
  </w:style>
  <w:style w:type="character" w:styleId="Fuentedeprrafopredeter">
    <w:name w:val="Fuente de párrafo predeter."/>
    <w:qFormat/>
    <w:rPr/>
  </w:style>
  <w:style w:type="character" w:styleId="PageNumber">
    <w:name w:val="Page Number"/>
    <w:basedOn w:val="Fuentedeprrafopredeter"/>
    <w:rPr/>
  </w:style>
  <w:style w:type="character" w:styleId="Eacep1">
    <w:name w:val="eacep1"/>
    <w:qFormat/>
    <w:rPr>
      <w:color w:val="000000"/>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z w:val="20"/>
      <w:szCs w:val="20"/>
    </w:rPr>
  </w:style>
  <w:style w:type="paragraph" w:styleId="Footer">
    <w:name w:val="Footer"/>
    <w:basedOn w:val="Normal"/>
    <w:pPr>
      <w:tabs>
        <w:tab w:val="clear" w:pos="708"/>
        <w:tab w:val="center" w:pos="4252" w:leader="none"/>
        <w:tab w:val="right" w:pos="8504" w:leader="none"/>
      </w:tabs>
    </w:pPr>
    <w:rPr/>
  </w:style>
  <w:style w:type="paragraph" w:styleId="Textoindependiente2">
    <w:name w:val="Texto independiente 2"/>
    <w:basedOn w:val="Normal"/>
    <w:qFormat/>
    <w:pPr>
      <w:widowControl w:val="false"/>
      <w:jc w:val="both"/>
    </w:pPr>
    <w:rPr>
      <w:sz w:val="24"/>
    </w:rPr>
  </w:style>
  <w:style w:type="paragraph" w:styleId="TITULO">
    <w:name w:val="TITULO"/>
    <w:basedOn w:val="Normal"/>
    <w:qFormat/>
    <w:pPr/>
    <w:rPr>
      <w:rFonts w:ascii="Arial (W1)" w:hAnsi="Arial (W1)" w:cs="Arial (W1)"/>
      <w:b/>
      <w:i/>
      <w:u w:val="single"/>
      <w:lang w:val="es-ES_tradnl"/>
    </w:rPr>
  </w:style>
  <w:style w:type="paragraph" w:styleId="SUBTIT">
    <w:name w:val="SUBTIT"/>
    <w:basedOn w:val="Normal"/>
    <w:qFormat/>
    <w:pPr/>
    <w:rPr>
      <w:rFonts w:ascii="Arial (W1)" w:hAnsi="Arial (W1)" w:cs="Arial (W1)"/>
      <w:b/>
      <w:i/>
      <w:sz w:val="18"/>
      <w:u w:val="single"/>
      <w:lang w:val="es-ES_tradnl"/>
    </w:rPr>
  </w:style>
  <w:style w:type="paragraph" w:styleId="FIRMAS">
    <w:name w:val="FIRMAS"/>
    <w:basedOn w:val="Normal"/>
    <w:qFormat/>
    <w:pPr/>
    <w:rPr>
      <w:rFonts w:ascii="Arial (W1)" w:hAnsi="Arial (W1)" w:cs="Arial (W1)"/>
      <w:b/>
      <w:sz w:val="18"/>
      <w:lang w:val="es-ES_tradnl"/>
    </w:rPr>
  </w:style>
  <w:style w:type="paragraph" w:styleId="WWTextoindependiente3">
    <w:name w:val="WW-Texto independiente 3"/>
    <w:basedOn w:val="Normal"/>
    <w:qFormat/>
    <w:pPr>
      <w:widowControl w:val="false"/>
      <w:suppressAutoHyphens w:val="true"/>
      <w:jc w:val="both"/>
    </w:pPr>
    <w:rPr>
      <w:rFonts w:ascii="Courier New" w:hAnsi="Courier New" w:cs="Courier New"/>
      <w:sz w:val="24"/>
      <w:lang w:val="es-ES_tradnl"/>
    </w:rPr>
  </w:style>
  <w:style w:type="paragraph" w:styleId="WWTextoindependiente2">
    <w:name w:val="WW-Texto independiente 2"/>
    <w:basedOn w:val="Normal"/>
    <w:qFormat/>
    <w:pPr>
      <w:suppressAutoHyphens w:val="true"/>
      <w:jc w:val="both"/>
    </w:pPr>
    <w:rPr>
      <w:sz w:val="22"/>
      <w:lang w:val="es-AR"/>
    </w:rPr>
  </w:style>
  <w:style w:type="paragraph" w:styleId="TextBodyIndent">
    <w:name w:val="Body Text Indent"/>
    <w:basedOn w:val="Normal"/>
    <w:pPr>
      <w:suppressAutoHyphens w:val="true"/>
      <w:spacing w:before="0" w:after="120"/>
      <w:ind w:left="283" w:hanging="0"/>
    </w:pPr>
    <w:rPr>
      <w:lang w:val="es-CO"/>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2010-09-09T08:31:00Z</dcterms:created>
  <dc:creator>Luis Enrique</dc:creator>
  <dc:description/>
  <cp:keywords/>
  <dc:language>en-US</dc:language>
  <cp:lastModifiedBy>Carmen R. Llusco Gomez</cp:lastModifiedBy>
  <cp:lastPrinted>2019-05-23T16:48:00Z</cp:lastPrinted>
  <dcterms:modified xsi:type="dcterms:W3CDTF">2019-05-23T17:03:00Z</dcterms:modified>
  <cp:revision>15</cp:revision>
  <dc:subject/>
  <dc:title>CLAUSULA DE EXTRATERRITORIALIDAD</dc:title>
</cp:coreProperties>
</file>