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jc w:val="left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Heading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z w:val="18"/>
          <w:szCs w:val="18"/>
          <w:lang w:val="es-ES_tradnl"/>
        </w:rPr>
      </w:pPr>
      <w:r>
        <w:rPr>
          <w:rFonts w:cs="Arial" w:ascii="Trebuchet MS" w:hAnsi="Trebuchet MS"/>
          <w:b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2752" w:firstLine="80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 /SPVS/IS/No. 415 de fecha 13 de Junio de 2007</w:t>
      </w:r>
    </w:p>
    <w:p>
      <w:pPr>
        <w:pStyle w:val="Heading"/>
        <w:rPr>
          <w:rFonts w:ascii="Trebuchet MS" w:hAnsi="Trebuchet MS" w:cs="Trebuchet MS"/>
          <w:b w:val="false"/>
          <w:b w:val="false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 w:val="false"/>
          <w:spacing w:val="-2"/>
          <w:sz w:val="18"/>
          <w:szCs w:val="18"/>
          <w:lang w:val="es-ES_tradnl"/>
        </w:rPr>
      </w:r>
    </w:p>
    <w:p>
      <w:pPr>
        <w:pStyle w:val="Heading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CLÁUSULA DE ASEGURADOS ADICIONALES</w:t>
      </w:r>
    </w:p>
    <w:p>
      <w:pPr>
        <w:pStyle w:val="Normal"/>
        <w:ind w:left="640" w:firstLine="80"/>
        <w:rPr>
          <w:rFonts w:ascii="Trebuchet MS" w:hAnsi="Trebuchet MS"/>
          <w:b/>
          <w:b/>
          <w:spacing w:val="-2"/>
          <w:sz w:val="18"/>
          <w:szCs w:val="18"/>
          <w:lang w:val="es-ES_tradnl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      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06 001-2789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center"/>
        <w:rPr>
          <w:rFonts w:ascii="Trebuchet MS" w:hAnsi="Trebuchet MS" w:cs="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ES_tradnl"/>
        </w:rPr>
        <w:t>RESOLUCIÓN ASFI Nº 930/2010 de fecha 05 de Noviembre de 2010</w:t>
      </w:r>
    </w:p>
    <w:p>
      <w:pPr>
        <w:pStyle w:val="Normal"/>
        <w:rPr>
          <w:rFonts w:ascii="Trebuchet MS" w:hAnsi="Trebuchet MS" w:cs="Trebuchet MS"/>
          <w:b/>
          <w:b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Trebuchet MS"/>
          <w:b/>
          <w:b/>
          <w:sz w:val="18"/>
          <w:szCs w:val="18"/>
          <w:u w:val="single"/>
          <w:lang w:val="es-ES_tradnl"/>
        </w:rPr>
      </w:pPr>
      <w:r>
        <w:rPr>
          <w:rFonts w:cs="Trebuchet MS" w:ascii="Trebuchet MS" w:hAnsi="Trebuchet MS"/>
          <w:b/>
          <w:sz w:val="18"/>
          <w:szCs w:val="18"/>
          <w:u w:val="single"/>
          <w:lang w:val="es-ES_tradnl"/>
        </w:rPr>
      </w:r>
    </w:p>
    <w:p>
      <w:pPr>
        <w:pStyle w:val="Normal"/>
        <w:suppressAutoHyphens w:val="true"/>
        <w:jc w:val="both"/>
        <w:rPr/>
      </w:pPr>
      <w:r>
        <w:rPr>
          <w:rFonts w:cs="Trebuchet MS" w:ascii="Trebuchet MS" w:hAnsi="Trebuchet MS"/>
          <w:sz w:val="18"/>
          <w:szCs w:val="18"/>
        </w:rPr>
        <w:t xml:space="preserve">A solicitud expresa del Asegurado, se acuerda y establece que serán considerados como Asegurados Adicionales a </w:t>
      </w:r>
      <w:r>
        <w:rPr>
          <w:rFonts w:cs="Arial" w:ascii="Trebuchet MS" w:hAnsi="Trebuchet MS"/>
          <w:spacing w:val="-3"/>
          <w:sz w:val="18"/>
          <w:szCs w:val="18"/>
          <w:lang w:val="es-AR"/>
        </w:rPr>
        <w:t>los efectos de este seguro,  los siguientes:</w:t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AR"/>
        </w:rPr>
      </w:pPr>
      <w:r>
        <w:rPr>
          <w:rFonts w:cs="Trebuchet MS" w:ascii="Trebuchet MS" w:hAnsi="Trebuchet MS"/>
          <w:spacing w:val="-3"/>
          <w:sz w:val="18"/>
          <w:szCs w:val="18"/>
          <w:lang w:val="es-AR"/>
        </w:rPr>
      </w:r>
    </w:p>
    <w:p>
      <w:pPr>
        <w:pStyle w:val="TextBody"/>
        <w:numPr>
          <w:ilvl w:val="0"/>
          <w:numId w:val="1"/>
        </w:numPr>
        <w:rPr/>
      </w:pPr>
      <w:r>
        <w:rPr>
          <w:rFonts w:cs="Trebuchet MS" w:ascii="Trebuchet MS" w:hAnsi="Trebuchet MS"/>
          <w:szCs w:val="18"/>
          <w:lang w:val="en-US" w:eastAsia="en-US"/>
        </w:rPr>
        <w:t>Toda empresa de riesgo compartido, sociedad anónima, sociedad de responsabilidad limitada, organización de su propiedad, afiliada y bajo su control, u otras entidades que al presente existan o en el futuro pudieran ser creadas, establecidas, fusionadas adquiridas o constituidas según figuren sus respectivos intereses, a las que en lo sucesivo se hará referencia también  como el  “Asegurado”</w:t>
      </w:r>
      <w:r>
        <w:rPr>
          <w:rFonts w:cs="Trebuchet MS" w:ascii="Trebuchet MS" w:hAnsi="Trebuchet MS"/>
          <w:szCs w:val="18"/>
        </w:rPr>
        <w:t xml:space="preserve">,  siempre que el Asegurado haya solicitado en forma expresa su inclusión. </w:t>
      </w:r>
    </w:p>
    <w:p>
      <w:pPr>
        <w:pStyle w:val="TextBody"/>
        <w:ind w:left="360" w:hanging="0"/>
        <w:rPr>
          <w:rFonts w:ascii="Trebuchet MS" w:hAnsi="Trebuchet MS" w:cs="Trebuchet MS"/>
          <w:szCs w:val="18"/>
        </w:rPr>
      </w:pPr>
      <w:r>
        <w:rPr>
          <w:rFonts w:cs="Trebuchet MS" w:ascii="Trebuchet MS" w:hAnsi="Trebuchet MS"/>
          <w:szCs w:val="18"/>
        </w:rPr>
      </w:r>
    </w:p>
    <w:p>
      <w:pPr>
        <w:pStyle w:val="TextBody"/>
        <w:numPr>
          <w:ilvl w:val="0"/>
          <w:numId w:val="1"/>
        </w:numPr>
        <w:rPr>
          <w:rFonts w:ascii="Trebuchet MS" w:hAnsi="Trebuchet MS" w:cs="Trebuchet MS"/>
          <w:szCs w:val="18"/>
        </w:rPr>
      </w:pPr>
      <w:r>
        <w:rPr>
          <w:rFonts w:cs="Trebuchet MS" w:ascii="Trebuchet MS" w:hAnsi="Trebuchet MS"/>
          <w:szCs w:val="18"/>
        </w:rPr>
        <w:t xml:space="preserve">Además se acuerda y conviene que todos los contratistas y sub contratistas están incluidos como Asegurados Adicionales en el presente, hasta donde tengan o pudieran tener un interés en la propiedad, trabajo o responsabilidades cubiertos bajo la presente, </w:t>
      </w:r>
    </w:p>
    <w:p>
      <w:pPr>
        <w:pStyle w:val="TextBody"/>
        <w:rPr>
          <w:rFonts w:ascii="Trebuchet MS" w:hAnsi="Trebuchet MS" w:cs="Trebuchet MS"/>
          <w:szCs w:val="18"/>
        </w:rPr>
      </w:pPr>
      <w:r>
        <w:rPr>
          <w:rFonts w:cs="Trebuchet MS" w:ascii="Trebuchet MS" w:hAnsi="Trebuchet MS"/>
          <w:szCs w:val="18"/>
        </w:rPr>
      </w:r>
    </w:p>
    <w:p>
      <w:pPr>
        <w:pStyle w:val="TextBody"/>
        <w:ind w:left="709" w:hanging="1"/>
        <w:rPr>
          <w:rFonts w:ascii="Trebuchet MS" w:hAnsi="Trebuchet MS" w:cs="Trebuchet MS"/>
          <w:szCs w:val="18"/>
        </w:rPr>
      </w:pPr>
      <w:r>
        <w:rPr>
          <w:rFonts w:cs="Trebuchet MS" w:ascii="Trebuchet MS" w:hAnsi="Trebuchet MS"/>
          <w:szCs w:val="18"/>
        </w:rPr>
        <w:t>Se acuerda y conviene que el(los) contratista(s) y sub contratista (s) están incluidos como Asegurado Adicional bajo la presente, y la Compañía conviene en renunciar a todo derecho de subrogación contra ellos,  siempre que el Asegurado haya solicitado en forma expresa su inclusión  y con anterioridad a una pérdida o daño cubierto por el presente seguro.</w:t>
      </w:r>
    </w:p>
    <w:p>
      <w:pPr>
        <w:pStyle w:val="Normal"/>
        <w:tabs>
          <w:tab w:val="clear" w:pos="708"/>
          <w:tab w:val="left" w:pos="1418" w:leader="none"/>
        </w:tabs>
        <w:suppressAutoHyphens w:val="true"/>
        <w:spacing w:lineRule="auto" w:line="288"/>
        <w:ind w:left="1418" w:hanging="567"/>
        <w:jc w:val="both"/>
        <w:rPr>
          <w:rFonts w:ascii="Trebuchet MS" w:hAnsi="Trebuchet MS" w:cs="Arial"/>
          <w:spacing w:val="-3"/>
          <w:sz w:val="18"/>
          <w:szCs w:val="18"/>
          <w:lang w:val="es-AR"/>
        </w:rPr>
      </w:pPr>
      <w:r>
        <w:rPr>
          <w:rFonts w:cs="Arial" w:ascii="Trebuchet MS" w:hAnsi="Trebuchet MS"/>
          <w:spacing w:val="-3"/>
          <w:sz w:val="18"/>
          <w:szCs w:val="18"/>
          <w:lang w:val="es-AR"/>
        </w:rPr>
      </w:r>
    </w:p>
    <w:p>
      <w:pPr>
        <w:pStyle w:val="TextBody"/>
        <w:suppressAutoHyphens w:val="true"/>
        <w:rPr>
          <w:rFonts w:ascii="Trebuchet MS" w:hAnsi="Trebuchet MS" w:cs="Arial"/>
          <w:spacing w:val="-3"/>
          <w:szCs w:val="18"/>
          <w:lang w:val="es-AR"/>
        </w:rPr>
      </w:pPr>
      <w:r>
        <w:rPr>
          <w:rFonts w:cs="Arial" w:ascii="Trebuchet MS" w:hAnsi="Trebuchet MS"/>
          <w:spacing w:val="-3"/>
          <w:szCs w:val="18"/>
          <w:lang w:val="es-AR"/>
        </w:rPr>
        <w:t>El término "Asegurado" se utiliza individual y no colectivamente.  El seguro aquí otorgado se aplica separadamente para cada Asegurado como si cada uno de los Asegurados fuera el único Asegurado,  sin que ello pueda modificar  o incrementar el valor asegurado establecido en las Condiciones Particulares.</w:t>
      </w:r>
    </w:p>
    <w:p>
      <w:pPr>
        <w:pStyle w:val="Normal"/>
        <w:jc w:val="both"/>
        <w:rPr>
          <w:rFonts w:ascii="Trebuchet MS" w:hAnsi="Trebuchet MS" w:cs="Trebuchet MS"/>
          <w:spacing w:val="-3"/>
          <w:sz w:val="18"/>
          <w:szCs w:val="18"/>
          <w:lang w:val="es-AR"/>
        </w:rPr>
      </w:pPr>
      <w:r>
        <w:rPr>
          <w:rFonts w:cs="Trebuchet MS" w:ascii="Trebuchet MS" w:hAnsi="Trebuchet MS"/>
          <w:spacing w:val="-3"/>
          <w:sz w:val="18"/>
          <w:szCs w:val="18"/>
          <w:lang w:val="es-AR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En caso de pérdidas o daños amparados por el presente seguro, el Asegurado deberá presentar los  contratos escritos o respaldos documentarios, que determinen la relación con éstas empresas.</w:t>
      </w:r>
    </w:p>
    <w:p>
      <w:pPr>
        <w:pStyle w:val="Normal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Todos los demás términos, condiciones y exclusiones permanecen sin modificación.</w:t>
      </w:r>
    </w:p>
    <w:p>
      <w:pPr>
        <w:pStyle w:val="Normal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jc w:val="center"/>
        <w:rPr>
          <w:rFonts w:ascii="Trebuchet MS" w:hAnsi="Trebuchet MS" w:cs="Arial"/>
          <w:b/>
          <w:b/>
          <w:bCs/>
          <w:sz w:val="18"/>
          <w:szCs w:val="18"/>
          <w:lang w:val="es-ES_tradnl"/>
        </w:rPr>
      </w:pPr>
      <w:r>
        <w:rPr>
          <w:rFonts w:cs="Arial" w:ascii="Trebuchet MS" w:hAnsi="Trebuchet MS"/>
          <w:b/>
          <w:bCs/>
          <w:sz w:val="18"/>
          <w:szCs w:val="18"/>
          <w:lang w:val="es-ES_tradnl"/>
        </w:rPr>
        <w:t>“</w:t>
      </w:r>
      <w:r>
        <w:rPr>
          <w:rFonts w:cs="Arial" w:ascii="Trebuchet MS" w:hAnsi="Trebuchet MS"/>
          <w:b/>
          <w:bCs/>
          <w:sz w:val="18"/>
          <w:szCs w:val="18"/>
          <w:lang w:val="es-ES_tradnl"/>
        </w:rPr>
        <w:t>NACIONAL SEGUROS PATRIMONIALES Y FIANZAS S.A.”</w:t>
      </w:r>
    </w:p>
    <w:sectPr>
      <w:type w:val="nextPage"/>
      <w:pgSz w:w="12240" w:h="15840"/>
      <w:pgMar w:left="1985" w:right="1418" w:gutter="0" w:header="0" w:top="1134" w:footer="0" w:bottom="22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both"/>
    </w:pPr>
    <w:rPr>
      <w:rFonts w:ascii="Arial" w:hAnsi="Arial" w:cs="Arial"/>
      <w:sz w:val="1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jc w:val="both"/>
    </w:pPr>
    <w:rPr>
      <w:sz w:val="22"/>
      <w:lang w:val="es-MX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2006-09-25T09:32:00Z</dcterms:created>
  <dc:creator>Usuario Bisa Seguros S.A..</dc:creator>
  <dc:description/>
  <cp:keywords/>
  <dc:language>en-US</dc:language>
  <cp:lastModifiedBy>Jaime Alejandro Beltran</cp:lastModifiedBy>
  <dcterms:modified xsi:type="dcterms:W3CDTF">2015-06-02T17:23:00Z</dcterms:modified>
  <cp:revision>10</cp:revision>
  <dc:subject/>
  <dc:title>ASEGURADOS ADICIONALES</dc:title>
</cp:coreProperties>
</file>