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Calibri" w:hAnsi="Calibri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Calibri" w:hAnsi="Calibri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jc w:val="center"/>
        <w:rPr/>
      </w:pPr>
      <w:r>
        <w:rPr>
          <w:rFonts w:cs="Calibri" w:ascii="Calibri" w:hAnsi="Calibri"/>
          <w:b/>
          <w:sz w:val="18"/>
          <w:szCs w:val="18"/>
        </w:rPr>
        <w:t xml:space="preserve">Código asignado </w:t>
      </w:r>
      <w:r>
        <w:rPr>
          <w:rFonts w:cs="Calibri" w:ascii="Calibri" w:hAnsi="Calibri"/>
          <w:b/>
          <w:sz w:val="18"/>
          <w:szCs w:val="18"/>
          <w:lang w:val="es-ES_tradnl"/>
        </w:rPr>
        <w:t xml:space="preserve">115-910101-2007 06 001    </w:t>
      </w:r>
    </w:p>
    <w:p>
      <w:pPr>
        <w:pStyle w:val="Normal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  <w:lang w:val="es-ES_tradnl"/>
        </w:rPr>
        <w:t xml:space="preserve">RESOLUCION ADMINISTRATIVA </w:t>
      </w:r>
      <w:r>
        <w:rPr>
          <w:rFonts w:cs="Arial" w:ascii="Calibri" w:hAnsi="Calibri"/>
          <w:b/>
          <w:spacing w:val="-2"/>
          <w:sz w:val="18"/>
          <w:szCs w:val="18"/>
          <w:lang w:val="es-ES_tradnl"/>
        </w:rPr>
        <w:t>SPVS/IS/No.</w:t>
      </w:r>
      <w:r>
        <w:rPr>
          <w:rFonts w:cs="Calibri" w:ascii="Calibri" w:hAnsi="Calibri"/>
          <w:b/>
          <w:sz w:val="18"/>
          <w:szCs w:val="18"/>
          <w:lang w:val="es-ES_tradnl"/>
        </w:rPr>
        <w:t xml:space="preserve"> 415/2007 DE 13 de junio de 2007    </w:t>
      </w:r>
    </w:p>
    <w:p>
      <w:pPr>
        <w:pStyle w:val="Normal"/>
        <w:rPr>
          <w:rFonts w:ascii="Calibri" w:hAnsi="Calibri" w:cs="Arial"/>
          <w:b/>
          <w:b/>
          <w:sz w:val="18"/>
          <w:szCs w:val="18"/>
          <w:u w:val="single"/>
        </w:rPr>
      </w:pPr>
      <w:r>
        <w:rPr>
          <w:rFonts w:cs="Arial" w:ascii="Calibri" w:hAnsi="Calibri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Calibri" w:hAnsi="Calibri" w:cs="Arial"/>
          <w:b/>
          <w:b/>
          <w:sz w:val="18"/>
          <w:szCs w:val="18"/>
        </w:rPr>
      </w:pPr>
      <w:r>
        <w:rPr>
          <w:rFonts w:cs="Arial" w:ascii="Calibri" w:hAnsi="Calibri"/>
          <w:b/>
          <w:sz w:val="18"/>
          <w:szCs w:val="18"/>
        </w:rPr>
        <w:t>CLÁUSULA DE BIENES A LA INTEMPERIE</w:t>
      </w:r>
    </w:p>
    <w:p>
      <w:pPr>
        <w:pStyle w:val="Normal"/>
        <w:jc w:val="center"/>
        <w:rPr>
          <w:rFonts w:ascii="Calibri" w:hAnsi="Calibri" w:cs="Arial"/>
          <w:b/>
          <w:b/>
          <w:sz w:val="18"/>
          <w:szCs w:val="18"/>
        </w:rPr>
      </w:pPr>
      <w:r>
        <w:rPr>
          <w:rFonts w:cs="Arial" w:ascii="Calibri" w:hAnsi="Calibri"/>
          <w:b/>
          <w:sz w:val="18"/>
          <w:szCs w:val="18"/>
        </w:rPr>
        <w:t>Código Asignado 115-910101-2007 06 001 2825</w:t>
      </w:r>
    </w:p>
    <w:p>
      <w:pPr>
        <w:pStyle w:val="Normal"/>
        <w:jc w:val="center"/>
        <w:rPr>
          <w:rFonts w:ascii="Calibri" w:hAnsi="Calibri" w:cs="Arial"/>
          <w:b/>
          <w:b/>
          <w:sz w:val="18"/>
          <w:szCs w:val="18"/>
        </w:rPr>
      </w:pPr>
      <w:r>
        <w:rPr>
          <w:rFonts w:cs="Arial" w:ascii="Calibri" w:hAnsi="Calibri"/>
          <w:b/>
          <w:sz w:val="18"/>
          <w:szCs w:val="18"/>
        </w:rPr>
        <w:t>RESOLUCIÓN ADMINISTRATIVA APS/DS/No. 1223/2017 DE FECHA 02 DE OCTUBRE DE 2017</w:t>
      </w:r>
    </w:p>
    <w:p>
      <w:pPr>
        <w:pStyle w:val="Normal"/>
        <w:jc w:val="both"/>
        <w:rPr>
          <w:rFonts w:ascii="Calibri" w:hAnsi="Calibri" w:cs="Arial"/>
          <w:b/>
          <w:b/>
          <w:sz w:val="18"/>
          <w:szCs w:val="18"/>
          <w:u w:val="single"/>
        </w:rPr>
      </w:pPr>
      <w:r>
        <w:rPr>
          <w:rFonts w:cs="Arial" w:ascii="Calibri" w:hAnsi="Calibri"/>
          <w:b/>
          <w:sz w:val="18"/>
          <w:szCs w:val="18"/>
          <w:u w:val="single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  <w:u w:val="single"/>
        </w:rPr>
      </w:pPr>
      <w:r>
        <w:rPr>
          <w:rFonts w:cs="Arial" w:ascii="Calibri" w:hAnsi="Calibri"/>
          <w:sz w:val="18"/>
          <w:szCs w:val="18"/>
          <w:u w:val="single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  <w:u w:val="single"/>
        </w:rPr>
      </w:pPr>
      <w:r>
        <w:rPr>
          <w:rFonts w:cs="Arial" w:ascii="Calibri" w:hAnsi="Calibri"/>
          <w:sz w:val="18"/>
          <w:szCs w:val="18"/>
          <w:u w:val="single"/>
        </w:rPr>
      </w:r>
    </w:p>
    <w:p>
      <w:pPr>
        <w:pStyle w:val="Normal"/>
        <w:jc w:val="both"/>
        <w:rPr/>
      </w:pPr>
      <w:r>
        <w:rPr>
          <w:rFonts w:cs="Arial" w:ascii="Calibri" w:hAnsi="Calibri"/>
          <w:sz w:val="18"/>
          <w:szCs w:val="18"/>
        </w:rPr>
        <w:t>Se aclara que este seguro cubre a los bienes asegurados que se encuentren a la intemperie, y cuando los mismos estén diseñados para tal efecto, hasta los límites de la suma asegurada descritos en las Condiciones Particulares.</w:t>
      </w:r>
    </w:p>
    <w:p>
      <w:pPr>
        <w:pStyle w:val="Normal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Textoindependiente2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  <w:t>“</w:t>
      </w:r>
      <w:r>
        <w:rPr>
          <w:rFonts w:cs="Calibri" w:ascii="Calibri" w:hAnsi="Calibri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Calibri" w:hAnsi="Calibri" w:cs="Calibri"/>
          <w:b/>
          <w:b/>
          <w:sz w:val="18"/>
          <w:szCs w:val="18"/>
        </w:rPr>
      </w:pPr>
      <w:r>
        <w:rPr>
          <w:rFonts w:cs="Calibri" w:ascii="Calibri" w:hAnsi="Calibri"/>
          <w:b/>
          <w:sz w:val="18"/>
          <w:szCs w:val="18"/>
        </w:rPr>
      </w:r>
    </w:p>
    <w:p>
      <w:pPr>
        <w:pStyle w:val="Normal"/>
        <w:rPr>
          <w:rFonts w:ascii="Calibri" w:hAnsi="Calibri" w:cs="Arial"/>
          <w:b/>
          <w:b/>
          <w:sz w:val="18"/>
          <w:szCs w:val="18"/>
        </w:rPr>
      </w:pPr>
      <w:r>
        <w:rPr>
          <w:rFonts w:cs="Arial" w:ascii="Calibri" w:hAnsi="Calibri"/>
          <w:b/>
          <w:sz w:val="18"/>
          <w:szCs w:val="18"/>
        </w:rPr>
      </w:r>
    </w:p>
    <w:p>
      <w:pPr>
        <w:pStyle w:val="Normal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sectPr>
      <w:type w:val="nextPage"/>
      <w:pgSz w:w="11906" w:h="16838"/>
      <w:pgMar w:left="1701" w:right="1701" w:gutter="0" w:header="0" w:top="1957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2017-04-12T09:26:00Z</dcterms:created>
  <dc:creator>acloma</dc:creator>
  <dc:description/>
  <cp:keywords/>
  <dc:language>en-US</dc:language>
  <cp:lastModifiedBy>Blanca Yola Iris Rivera Coronel</cp:lastModifiedBy>
  <cp:lastPrinted>2017-09-18T20:00:00Z</cp:lastPrinted>
  <dcterms:modified xsi:type="dcterms:W3CDTF">2018-03-19T16:23:00Z</dcterms:modified>
  <cp:revision>11</cp:revision>
  <dc:subject/>
  <dc:title>ANEXO DE DAÑOS A CAUSAS DE LA NATURALEZA</dc:title>
</cp:coreProperties>
</file>