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left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Heading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Heading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RESOLUCIÓN ADMINISTRATIVA /SPVS/IS/No. 415 de fecha 13 de Junio de 2007</w:t>
      </w:r>
    </w:p>
    <w:p>
      <w:pPr>
        <w:pStyle w:val="Heading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/>
        </w:rPr>
      </w:r>
    </w:p>
    <w:p>
      <w:pPr>
        <w:pStyle w:val="Heading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Heading"/>
        <w:rPr/>
      </w:pPr>
      <w:r>
        <w:rPr>
          <w:rFonts w:cs="Trebuchet MS" w:ascii="Trebuchet MS" w:hAnsi="Trebuchet MS"/>
          <w:sz w:val="18"/>
          <w:szCs w:val="18"/>
          <w:u w:val="none"/>
        </w:rPr>
        <w:t xml:space="preserve">CLÁUSULA DE COBERTURA AUTOMÁTICA PARA ACUMULACIÓN DE DINERO POR </w:t>
      </w:r>
    </w:p>
    <w:p>
      <w:pPr>
        <w:pStyle w:val="Normal"/>
        <w:ind w:firstLine="640"/>
        <w:rPr/>
      </w:pPr>
      <w:r>
        <w:rPr>
          <w:rFonts w:cs="Arial" w:ascii="Trebuchet MS" w:hAnsi="Trebuchet MS"/>
          <w:b/>
          <w:bCs/>
          <w:sz w:val="18"/>
          <w:szCs w:val="18"/>
          <w:lang w:val="es-ES"/>
        </w:rPr>
        <w:t>HUELGAS BANCARIAS, HUELGAS EN GENERALY DIAS FERIADOS 100% DEL VALOR ASEGURADO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06 001-2782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  <w:t>RESOLUCIÓN ASFI Nº 930/2010 de fecha 05 de Noviembre de 2010</w:t>
      </w:r>
    </w:p>
    <w:p>
      <w:pPr>
        <w:pStyle w:val="Normal"/>
        <w:rPr>
          <w:rFonts w:ascii="Trebuchet MS" w:hAnsi="Trebuchet MS" w:cs="Arial"/>
          <w:b/>
          <w:b/>
          <w:bCs/>
          <w:spacing w:val="-2"/>
          <w:sz w:val="18"/>
          <w:szCs w:val="18"/>
        </w:rPr>
      </w:pPr>
      <w:r>
        <w:rPr>
          <w:rFonts w:cs="Arial" w:ascii="Trebuchet MS" w:hAnsi="Trebuchet MS"/>
          <w:b/>
          <w:bCs/>
          <w:spacing w:val="-2"/>
          <w:sz w:val="18"/>
          <w:szCs w:val="18"/>
        </w:rPr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both"/>
        <w:rPr>
          <w:rFonts w:ascii="Trebuchet MS" w:hAnsi="Trebuchet MS" w:cs="Trebuchet MS"/>
          <w:b/>
          <w:b/>
          <w:bCs/>
          <w:spacing w:val="-2"/>
          <w:sz w:val="18"/>
          <w:szCs w:val="18"/>
        </w:rPr>
      </w:pPr>
      <w:r>
        <w:rPr>
          <w:rFonts w:cs="Trebuchet MS" w:ascii="Trebuchet MS" w:hAnsi="Trebuchet MS"/>
          <w:b/>
          <w:bCs/>
          <w:spacing w:val="-2"/>
          <w:sz w:val="18"/>
          <w:szCs w:val="18"/>
        </w:rPr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La Compañía amplía el presente seguro, a cubrir la acumulación que pueda ocurrir hasta el 100% del valor declarado para dinero y/o valores,  a consecuencia de Huelgas Bancarias, Huelgas Generales, Días Feriados, siempre y cuando, el Asegurado mantenga los dineros, cheques, giros, cheques viajes  en Caja de Seguridad o Caja Fuerte.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monto de la acumulación, deberá ser proporcionado a la Compañía, una vez que ésta se produzca.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FIRMAS"/>
        <w:jc w:val="center"/>
        <w:rPr>
          <w:rFonts w:ascii="Trebuchet MS" w:hAnsi="Trebuchet MS" w:cs="Trebuchet MS"/>
          <w:b w:val="false"/>
          <w:b w:val="false"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lang w:val="es-MX"/>
        </w:rPr>
      </w:r>
    </w:p>
    <w:p>
      <w:pPr>
        <w:pStyle w:val="Normal"/>
        <w:rPr>
          <w:rFonts w:ascii="Trebuchet MS" w:hAnsi="Trebuchet MS" w:cs="Arial"/>
          <w:sz w:val="18"/>
          <w:szCs w:val="18"/>
          <w:lang w:val="es-MX"/>
        </w:rPr>
      </w:pPr>
      <w:r>
        <w:rPr>
          <w:rFonts w:cs="Arial" w:ascii="Trebuchet MS" w:hAnsi="Trebuchet MS"/>
          <w:sz w:val="18"/>
          <w:szCs w:val="18"/>
          <w:lang w:val="es-MX"/>
        </w:rPr>
      </w:r>
    </w:p>
    <w:sectPr>
      <w:type w:val="nextPage"/>
      <w:pgSz w:w="12240" w:h="15840"/>
      <w:pgMar w:left="1418" w:right="1418" w:gutter="0" w:header="0" w:top="1077" w:footer="0" w:bottom="2268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">
    <w:altName w:val="Courier New"/>
    <w:charset w:val="00"/>
    <w:family w:val="modern"/>
    <w:pitch w:val="default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ourier" w:hAnsi="Courier" w:eastAsia="Times New Roman" w:cs="Courier"/>
      <w:color w:val="auto"/>
      <w:sz w:val="24"/>
      <w:szCs w:val="20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Fuentedeencabezadopredeter">
    <w:name w:val="Fuente de encabezado predeter."/>
    <w:qFormat/>
    <w:rPr/>
  </w:style>
  <w:style w:type="character" w:styleId="EquationCaption">
    <w:name w:val="_Equation Caption"/>
    <w:qFormat/>
    <w:rPr/>
  </w:style>
  <w:style w:type="character" w:styleId="Textoindependiente2Car">
    <w:name w:val="Texto independiente 2 Car"/>
    <w:qFormat/>
    <w:rPr>
      <w:rFonts w:ascii="Courier" w:hAnsi="Courier" w:cs="Courier"/>
      <w:sz w:val="24"/>
      <w:lang w:val="es-ES_tradnl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bCs/>
      <w:sz w:val="20"/>
      <w:u w:val="single"/>
      <w:lang w:val="es-ES"/>
    </w:rPr>
  </w:style>
  <w:style w:type="paragraph" w:styleId="TextBody">
    <w:name w:val="Body Text"/>
    <w:basedOn w:val="Normal"/>
    <w:pPr>
      <w:widowControl w:val="false"/>
      <w:jc w:val="center"/>
    </w:pPr>
    <w:rPr>
      <w:rFonts w:ascii="Times New Roman" w:hAnsi="Times New Roman" w:cs="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spacing w:before="480" w:after="0"/>
      <w:ind w:left="720" w:right="720" w:hanging="720"/>
    </w:pPr>
    <w:rPr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ind w:left="1440" w:right="720" w:hanging="720"/>
    </w:pPr>
    <w:rPr>
      <w:lang w:val="en-US"/>
    </w:rPr>
  </w:style>
  <w:style w:type="paragraph" w:styleId="Contents3">
    <w:name w:val="TOC 3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ind w:left="2160" w:right="720" w:hanging="720"/>
    </w:pPr>
    <w:rPr>
      <w:lang w:val="en-US"/>
    </w:rPr>
  </w:style>
  <w:style w:type="paragraph" w:styleId="Contents4">
    <w:name w:val="TOC 4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ind w:left="2880" w:right="720" w:hanging="720"/>
    </w:pPr>
    <w:rPr>
      <w:lang w:val="en-US"/>
    </w:rPr>
  </w:style>
  <w:style w:type="paragraph" w:styleId="Contents5">
    <w:name w:val="TOC 5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ind w:left="3600" w:right="720" w:hanging="720"/>
    </w:pPr>
    <w:rPr>
      <w:lang w:val="en-US"/>
    </w:rPr>
  </w:style>
  <w:style w:type="paragraph" w:styleId="Contents6">
    <w:name w:val="TOC 6"/>
    <w:basedOn w:val="Normal"/>
    <w:next w:val="Normal"/>
    <w:pPr>
      <w:tabs>
        <w:tab w:val="clear" w:pos="720"/>
        <w:tab w:val="left" w:pos="9000" w:leader="none"/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Contents7">
    <w:name w:val="TOC 7"/>
    <w:basedOn w:val="Normal"/>
    <w:next w:val="Normal"/>
    <w:pPr>
      <w:suppressAutoHyphens w:val="true"/>
      <w:ind w:left="720" w:hanging="720"/>
    </w:pPr>
    <w:rPr>
      <w:lang w:val="en-US"/>
    </w:rPr>
  </w:style>
  <w:style w:type="paragraph" w:styleId="Contents8">
    <w:name w:val="TOC 8"/>
    <w:basedOn w:val="Normal"/>
    <w:next w:val="Normal"/>
    <w:pPr>
      <w:tabs>
        <w:tab w:val="clear" w:pos="720"/>
        <w:tab w:val="left" w:pos="9000" w:leader="none"/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Contents9">
    <w:name w:val="TOC 9"/>
    <w:basedOn w:val="Normal"/>
    <w:next w:val="Normal"/>
    <w:pPr>
      <w:tabs>
        <w:tab w:val="clear" w:pos="720"/>
        <w:tab w:val="left" w:pos="9000" w:leader="dot"/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Ndice1">
    <w:name w:val="índice 1"/>
    <w:basedOn w:val="Normal"/>
    <w:qFormat/>
    <w:pPr>
      <w:tabs>
        <w:tab w:val="clear" w:pos="720"/>
        <w:tab w:val="left" w:pos="9000" w:leader="dot"/>
        <w:tab w:val="right" w:pos="9360" w:leader="none"/>
      </w:tabs>
      <w:suppressAutoHyphens w:val="true"/>
      <w:ind w:left="1440" w:right="720" w:hanging="1440"/>
    </w:pPr>
    <w:rPr>
      <w:lang w:val="en-US"/>
    </w:rPr>
  </w:style>
  <w:style w:type="paragraph" w:styleId="Ndice2">
    <w:name w:val="índice 2"/>
    <w:basedOn w:val="Normal"/>
    <w:qFormat/>
    <w:pPr>
      <w:tabs>
        <w:tab w:val="clear" w:pos="720"/>
        <w:tab w:val="left" w:pos="9000" w:leader="dot"/>
        <w:tab w:val="right" w:pos="9360" w:leader="none"/>
      </w:tabs>
      <w:suppressAutoHyphens w:val="true"/>
      <w:ind w:left="1440" w:right="720" w:hanging="720"/>
    </w:pPr>
    <w:rPr>
      <w:lang w:val="en-US"/>
    </w:rPr>
  </w:style>
  <w:style w:type="paragraph" w:styleId="Toa">
    <w:name w:val="toa"/>
    <w:basedOn w:val="Normal"/>
    <w:qFormat/>
    <w:pPr>
      <w:tabs>
        <w:tab w:val="clear" w:pos="720"/>
        <w:tab w:val="left" w:pos="9000" w:leader="none"/>
        <w:tab w:val="right" w:pos="9360" w:leader="none"/>
      </w:tabs>
      <w:suppressAutoHyphens w:val="true"/>
    </w:pPr>
    <w:rPr>
      <w:lang w:val="en-US"/>
    </w:rPr>
  </w:style>
  <w:style w:type="paragraph" w:styleId="Epgrafe">
    <w:name w:val="epígrafe"/>
    <w:basedOn w:val="Normal"/>
    <w:qFormat/>
    <w:pPr/>
    <w:rPr/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sz w:val="20"/>
      <w:u w:val="single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</w:rPr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Acumulacion Dinero.dot</Template>
  <TotalTime>10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2006-09-22T14:20:00Z</dcterms:created>
  <dc:creator>Usuario Bisa Seguros S.A..</dc:creator>
  <dc:description/>
  <cp:keywords/>
  <dc:language>en-US</dc:language>
  <cp:lastModifiedBy>Jaime Alejandro Beltran</cp:lastModifiedBy>
  <cp:lastPrinted>2003-01-20T15:38:00Z</cp:lastPrinted>
  <dcterms:modified xsi:type="dcterms:W3CDTF">2015-06-24T09:51:00Z</dcterms:modified>
  <cp:revision>8</cp:revision>
  <dc:subject/>
  <dc:title>								POLIZA NO.</dc:title>
</cp:coreProperties>
</file>