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Default"/>
        <w:bidi w:val="0"/>
        <w:ind w:left="0" w:right="0" w:hanging="0"/>
        <w:jc w:val="center"/>
        <w:rPr/>
      </w:pPr>
      <w:r>
        <w:rPr>
          <w:rFonts w:cs="Arial"/>
          <w:b/>
          <w:bCs/>
          <w:sz w:val="18"/>
          <w:szCs w:val="18"/>
        </w:rPr>
        <w:t>PÓLIZA DE SEGURO DE TODO RIESGO DE DAÑOS A LA PROPIEDAD</w:t>
      </w:r>
    </w:p>
    <w:p>
      <w:pPr>
        <w:pStyle w:val="Normal"/>
        <w:bidi w:val="0"/>
        <w:ind w:left="640" w:right="0" w:firstLine="80"/>
        <w:rPr/>
      </w:pPr>
      <w:r>
        <w:rPr>
          <w:rFonts w:cs="Arial" w:ascii="Trebuchet MS" w:hAnsi="Trebuchet MS"/>
          <w:b/>
          <w:bCs/>
          <w:spacing w:val="-2"/>
          <w:sz w:val="18"/>
          <w:szCs w:val="18"/>
        </w:rPr>
        <w:t xml:space="preserve">                                       </w:t>
      </w:r>
      <w:r>
        <w:rPr>
          <w:rFonts w:cs="Arial" w:ascii="Trebuchet MS" w:hAnsi="Trebuchet MS"/>
          <w:b/>
          <w:bCs/>
          <w:spacing w:val="-2"/>
          <w:sz w:val="18"/>
          <w:szCs w:val="18"/>
        </w:rPr>
        <w:t>Código Asignado 115-910101-2007 06 001</w:t>
      </w:r>
    </w:p>
    <w:p>
      <w:pPr>
        <w:pStyle w:val="Normal"/>
        <w:bidi w:val="0"/>
        <w:ind w:left="640" w:right="0" w:firstLine="80"/>
        <w:rPr/>
      </w:pPr>
      <w:r>
        <w:rPr>
          <w:rFonts w:cs="Arial" w:ascii="Trebuchet MS" w:hAnsi="Trebuchet MS"/>
          <w:b/>
          <w:bCs/>
          <w:spacing w:val="-2"/>
          <w:sz w:val="18"/>
          <w:szCs w:val="18"/>
        </w:rPr>
        <w:t xml:space="preserve">                </w:t>
      </w:r>
      <w:r>
        <w:rPr>
          <w:rFonts w:cs="Arial" w:ascii="Trebuchet MS" w:hAnsi="Trebuchet MS"/>
          <w:b/>
          <w:bCs/>
          <w:spacing w:val="-2"/>
          <w:sz w:val="18"/>
          <w:szCs w:val="18"/>
        </w:rPr>
        <w:t>RESOLUCIÓN ADMINISTRATIVA /SPVS/IS/No. 415 de fecha 13 de Junio de 2007</w:t>
      </w:r>
    </w:p>
    <w:p>
      <w:pPr>
        <w:pStyle w:val="Default"/>
        <w:bidi w:val="0"/>
        <w:ind w:left="0" w:right="0" w:hanging="0"/>
        <w:jc w:val="center"/>
        <w:rPr>
          <w:rFonts w:cs="Arial"/>
          <w:b/>
          <w:b/>
          <w:bCs/>
          <w:sz w:val="18"/>
          <w:szCs w:val="18"/>
          <w:lang w:val="es-ES_tradnl"/>
        </w:rPr>
      </w:pPr>
      <w:r>
        <w:rPr>
          <w:rFonts w:cs="Arial"/>
          <w:b/>
          <w:bCs/>
          <w:sz w:val="18"/>
          <w:szCs w:val="18"/>
          <w:lang w:val="es-ES_tradnl"/>
        </w:rPr>
      </w:r>
    </w:p>
    <w:p>
      <w:pPr>
        <w:pStyle w:val="Default"/>
        <w:bidi w:val="0"/>
        <w:ind w:left="0" w:right="0" w:hanging="0"/>
        <w:jc w:val="center"/>
        <w:rPr>
          <w:rFonts w:cs="Arial"/>
          <w:b/>
          <w:b/>
          <w:bCs/>
          <w:sz w:val="18"/>
          <w:szCs w:val="18"/>
          <w:lang w:val="es-ES_tradnl"/>
        </w:rPr>
      </w:pPr>
      <w:r>
        <w:rPr>
          <w:rFonts w:cs="Arial"/>
          <w:b/>
          <w:bCs/>
          <w:sz w:val="18"/>
          <w:szCs w:val="18"/>
          <w:lang w:val="es-ES_tradnl"/>
        </w:rPr>
      </w:r>
    </w:p>
    <w:p>
      <w:pPr>
        <w:pStyle w:val="Default"/>
        <w:bidi w:val="0"/>
        <w:ind w:left="0" w:right="0" w:hanging="0"/>
        <w:jc w:val="center"/>
        <w:rPr/>
      </w:pPr>
      <w:r>
        <w:rPr>
          <w:rFonts w:cs="Arial"/>
          <w:b/>
          <w:bCs/>
          <w:sz w:val="18"/>
          <w:szCs w:val="18"/>
        </w:rPr>
        <w:t xml:space="preserve">  </w:t>
      </w:r>
      <w:r>
        <w:rPr>
          <w:rFonts w:cs="Arial"/>
          <w:b/>
          <w:bCs/>
          <w:sz w:val="18"/>
          <w:szCs w:val="18"/>
        </w:rPr>
        <w:t>CLÁUSULA DE COBERTURA AUTOMÁTICA PARA NUEVAS ADQUISICIONES</w:t>
      </w:r>
    </w:p>
    <w:p>
      <w:pPr>
        <w:pStyle w:val="Default"/>
        <w:bidi w:val="0"/>
        <w:ind w:left="0" w:right="0" w:hanging="0"/>
        <w:jc w:val="center"/>
        <w:rPr>
          <w:lang w:val="es-ES_tradnl"/>
        </w:rPr>
      </w:pPr>
      <w:r>
        <w:rPr>
          <w:rFonts w:cs="Arial"/>
          <w:b/>
          <w:bCs/>
          <w:color w:val="auto"/>
          <w:spacing w:val="-2"/>
          <w:sz w:val="18"/>
          <w:szCs w:val="18"/>
          <w:lang w:val="es-ES_tradnl"/>
        </w:rPr>
        <w:t>Código Asignado 115-910101-2007 06 001-2781</w:t>
      </w:r>
    </w:p>
    <w:p>
      <w:pPr>
        <w:pStyle w:val="Default"/>
        <w:bidi w:val="0"/>
        <w:ind w:left="0" w:right="0" w:hanging="0"/>
        <w:jc w:val="center"/>
        <w:rPr>
          <w:lang w:val="es-ES_tradnl"/>
        </w:rPr>
      </w:pPr>
      <w:r>
        <w:rPr>
          <w:rFonts w:cs="Arial"/>
          <w:b/>
          <w:bCs/>
          <w:color w:val="auto"/>
          <w:spacing w:val="-2"/>
          <w:sz w:val="18"/>
          <w:szCs w:val="18"/>
          <w:lang w:val="es-ES_tradnl"/>
        </w:rPr>
        <w:t>RESOLUCIÓN ASFI Nº 866/2010 de fecha 08 de Octubre de 2010</w:t>
      </w:r>
    </w:p>
    <w:p>
      <w:pPr>
        <w:pStyle w:val="Default"/>
        <w:bidi w:val="0"/>
        <w:ind w:left="0" w:right="0" w:hanging="0"/>
        <w:jc w:val="center"/>
        <w:rPr>
          <w:color w:val="auto"/>
          <w:sz w:val="18"/>
          <w:szCs w:val="18"/>
        </w:rPr>
      </w:pPr>
      <w:r>
        <w:rPr>
          <w:color w:val="auto"/>
          <w:sz w:val="18"/>
          <w:szCs w:val="18"/>
        </w:rPr>
      </w:r>
    </w:p>
    <w:p>
      <w:pPr>
        <w:pStyle w:val="CM3"/>
        <w:bidi w:val="0"/>
        <w:spacing w:lineRule="atLeast" w:line="218"/>
        <w:ind w:left="0" w:right="0" w:hanging="0"/>
        <w:jc w:val="both"/>
        <w:rPr/>
      </w:pPr>
      <w:r>
        <w:rPr>
          <w:rFonts w:cs="Arial"/>
          <w:sz w:val="18"/>
          <w:szCs w:val="18"/>
        </w:rPr>
        <w:t xml:space="preserve">En consideración al pago de la prima correspondiente, queda convenido y declarado que los amparos de la presente Póliza se extienden a cubrir aquellas nuevas propiedades o intereses nuevos asegurables por un valor máximo de establecido en las Condiciones Particulares. </w:t>
      </w:r>
    </w:p>
    <w:p>
      <w:pPr>
        <w:pStyle w:val="CM3"/>
        <w:bidi w:val="0"/>
        <w:spacing w:lineRule="atLeast" w:line="218"/>
        <w:ind w:left="0" w:right="0" w:hanging="0"/>
        <w:jc w:val="both"/>
        <w:rPr/>
      </w:pPr>
      <w:r>
        <w:rPr>
          <w:rFonts w:cs="Arial"/>
          <w:sz w:val="18"/>
          <w:szCs w:val="18"/>
        </w:rPr>
        <w:t xml:space="preserve">El Asegurado se compromete a declarar a la Compañía, por escrito, dentro de los treinta días contados desde su adquisición y/o instalación y/o construcción. </w:t>
      </w:r>
    </w:p>
    <w:p>
      <w:pPr>
        <w:pStyle w:val="CM3"/>
        <w:bidi w:val="0"/>
        <w:spacing w:lineRule="atLeast" w:line="218"/>
        <w:ind w:left="0" w:right="0" w:hanging="0"/>
        <w:jc w:val="both"/>
        <w:rPr/>
      </w:pPr>
      <w:r>
        <w:rPr>
          <w:rFonts w:cs="Arial"/>
          <w:sz w:val="18"/>
          <w:szCs w:val="18"/>
        </w:rPr>
        <w:t xml:space="preserve">El amparo otorgado por esta Cláusula, cesará a partir de los treinta días estipulados si no se ha dado el aviso correspondiente. </w:t>
      </w:r>
    </w:p>
    <w:p>
      <w:pPr>
        <w:pStyle w:val="CM2"/>
        <w:bidi w:val="0"/>
        <w:spacing w:lineRule="atLeast" w:line="218" w:before="0" w:after="1158"/>
        <w:ind w:left="0" w:right="0" w:hanging="0"/>
        <w:jc w:val="both"/>
        <w:rPr/>
      </w:pPr>
      <w:r>
        <w:rPr>
          <w:rFonts w:cs="Arial"/>
          <w:sz w:val="18"/>
          <w:szCs w:val="18"/>
        </w:rPr>
        <w:t xml:space="preserve">Al recibir cada declaración, la Compañía cobrará las primas adicionales que correspondan, calculadas a prorrata temporis por el período contado desde el inicio de la Cobertura Automática hasta el vencimiento de la Póliza. </w:t>
      </w:r>
    </w:p>
    <w:p>
      <w:pPr>
        <w:pStyle w:val="CM2"/>
        <w:bidi w:val="0"/>
        <w:spacing w:lineRule="atLeast" w:line="218" w:before="0" w:after="1158"/>
        <w:ind w:left="1440" w:right="0" w:firstLine="720"/>
        <w:jc w:val="both"/>
        <w:rPr>
          <w:lang w:val="es-BO"/>
        </w:rPr>
      </w:pPr>
      <w:r>
        <w:rPr>
          <w:b/>
          <w:sz w:val="18"/>
          <w:szCs w:val="18"/>
          <w:lang w:val="es-BO"/>
        </w:rPr>
        <w:t>“</w:t>
      </w:r>
      <w:r>
        <w:rPr>
          <w:b/>
          <w:sz w:val="18"/>
          <w:szCs w:val="18"/>
          <w:lang w:val="es-BO"/>
        </w:rPr>
        <w:t>NACIONAL SEGUROS PATRIMONIALES Y FIANZAS S.A.”</w:t>
      </w:r>
    </w:p>
    <w:p>
      <w:pPr>
        <w:pStyle w:val="Default"/>
        <w:bidi w:val="0"/>
        <w:spacing w:lineRule="atLeast" w:line="343" w:before="0" w:after="100"/>
        <w:ind w:left="0" w:right="0" w:hanging="0"/>
        <w:jc w:val="center"/>
        <w:rPr>
          <w:b/>
          <w:b/>
          <w:bCs/>
          <w:color w:val="auto"/>
          <w:sz w:val="18"/>
          <w:szCs w:val="18"/>
          <w:lang w:val="es-ES_tradnl"/>
        </w:rPr>
      </w:pPr>
      <w:r>
        <w:rPr>
          <w:b/>
          <w:bCs/>
          <w:color w:val="auto"/>
          <w:sz w:val="18"/>
          <w:szCs w:val="18"/>
          <w:lang w:val="es-ES_tradnl"/>
        </w:rPr>
      </w:r>
    </w:p>
    <w:p>
      <w:pPr>
        <w:pStyle w:val="Default"/>
        <w:bidi w:val="0"/>
        <w:spacing w:lineRule="atLeast" w:line="343" w:before="0" w:after="100"/>
        <w:ind w:left="0" w:right="0" w:hanging="0"/>
        <w:jc w:val="center"/>
        <w:rPr>
          <w:b/>
          <w:b/>
          <w:bCs/>
          <w:color w:val="auto"/>
          <w:sz w:val="18"/>
          <w:szCs w:val="18"/>
        </w:rPr>
      </w:pPr>
      <w:r>
        <w:rPr>
          <w:b/>
          <w:bCs/>
          <w:color w:val="auto"/>
          <w:sz w:val="18"/>
          <w:szCs w:val="18"/>
        </w:rPr>
      </w:r>
    </w:p>
    <w:p>
      <w:pPr>
        <w:pStyle w:val="Default"/>
        <w:bidi w:val="0"/>
        <w:spacing w:lineRule="atLeast" w:line="343" w:before="0" w:after="100"/>
        <w:ind w:left="0" w:right="0" w:hanging="0"/>
        <w:jc w:val="center"/>
        <w:rPr>
          <w:b/>
          <w:b/>
          <w:bCs/>
          <w:color w:val="auto"/>
          <w:sz w:val="18"/>
          <w:szCs w:val="18"/>
        </w:rPr>
      </w:pPr>
      <w:r>
        <w:rPr>
          <w:b/>
          <w:bCs/>
          <w:color w:val="auto"/>
          <w:sz w:val="18"/>
          <w:szCs w:val="18"/>
        </w:rPr>
      </w:r>
    </w:p>
    <w:p>
      <w:pPr>
        <w:pStyle w:val="Default"/>
        <w:bidi w:val="0"/>
        <w:spacing w:lineRule="atLeast" w:line="343" w:before="0" w:after="100"/>
        <w:ind w:left="0" w:right="0" w:hanging="0"/>
        <w:jc w:val="center"/>
        <w:rPr>
          <w:b/>
          <w:b/>
          <w:bCs/>
          <w:color w:val="auto"/>
          <w:sz w:val="18"/>
          <w:szCs w:val="18"/>
        </w:rPr>
      </w:pPr>
      <w:r>
        <w:rPr>
          <w:b/>
          <w:bCs/>
          <w:color w:val="auto"/>
          <w:sz w:val="18"/>
          <w:szCs w:val="18"/>
        </w:rPr>
      </w:r>
    </w:p>
    <w:p>
      <w:pPr>
        <w:pStyle w:val="Default"/>
        <w:bidi w:val="0"/>
        <w:spacing w:lineRule="atLeast" w:line="343" w:before="0" w:after="100"/>
        <w:ind w:left="0" w:right="0" w:hanging="0"/>
        <w:jc w:val="center"/>
        <w:rPr>
          <w:b/>
          <w:b/>
          <w:bCs/>
          <w:color w:val="auto"/>
          <w:sz w:val="18"/>
          <w:szCs w:val="18"/>
        </w:rPr>
      </w:pPr>
      <w:r>
        <w:rPr>
          <w:b/>
          <w:bCs/>
          <w:color w:val="auto"/>
          <w:sz w:val="18"/>
          <w:szCs w:val="18"/>
        </w:rPr>
      </w:r>
    </w:p>
    <w:p>
      <w:pPr>
        <w:pStyle w:val="Default"/>
        <w:bidi w:val="0"/>
        <w:spacing w:lineRule="atLeast" w:line="343" w:before="0" w:after="100"/>
        <w:ind w:left="0" w:right="0" w:hanging="0"/>
        <w:jc w:val="center"/>
        <w:rPr>
          <w:b/>
          <w:b/>
          <w:bCs/>
          <w:color w:val="auto"/>
          <w:sz w:val="18"/>
          <w:szCs w:val="18"/>
        </w:rPr>
      </w:pPr>
      <w:r>
        <w:rPr>
          <w:b/>
          <w:bCs/>
          <w:color w:val="auto"/>
          <w:sz w:val="18"/>
          <w:szCs w:val="18"/>
        </w:rPr>
      </w:r>
    </w:p>
    <w:p>
      <w:pPr>
        <w:pStyle w:val="Default"/>
        <w:bidi w:val="0"/>
        <w:spacing w:lineRule="atLeast" w:line="343" w:before="0" w:after="100"/>
        <w:ind w:left="0" w:right="0" w:hanging="0"/>
        <w:jc w:val="center"/>
        <w:rPr>
          <w:b/>
          <w:b/>
          <w:bCs/>
          <w:color w:val="auto"/>
          <w:sz w:val="18"/>
          <w:szCs w:val="18"/>
        </w:rPr>
      </w:pPr>
      <w:r>
        <w:rPr>
          <w:b/>
          <w:bCs/>
          <w:color w:val="auto"/>
          <w:sz w:val="18"/>
          <w:szCs w:val="18"/>
        </w:rPr>
      </w:r>
    </w:p>
    <w:p>
      <w:pPr>
        <w:pStyle w:val="Default"/>
        <w:bidi w:val="0"/>
        <w:spacing w:lineRule="atLeast" w:line="343" w:before="0" w:after="100"/>
        <w:ind w:left="0" w:right="0" w:hanging="0"/>
        <w:jc w:val="center"/>
        <w:rPr>
          <w:b/>
          <w:b/>
          <w:bCs/>
          <w:color w:val="auto"/>
          <w:sz w:val="18"/>
          <w:szCs w:val="18"/>
        </w:rPr>
      </w:pPr>
      <w:r>
        <w:rPr>
          <w:b/>
          <w:bCs/>
          <w:color w:val="auto"/>
          <w:sz w:val="18"/>
          <w:szCs w:val="18"/>
        </w:rPr>
      </w:r>
    </w:p>
    <w:p>
      <w:pPr>
        <w:pStyle w:val="Default"/>
        <w:bidi w:val="0"/>
        <w:spacing w:lineRule="atLeast" w:line="343" w:before="0" w:after="100"/>
        <w:ind w:left="0" w:right="0" w:hanging="0"/>
        <w:jc w:val="center"/>
        <w:rPr>
          <w:b/>
          <w:b/>
          <w:bCs/>
          <w:color w:val="auto"/>
          <w:sz w:val="18"/>
          <w:szCs w:val="18"/>
        </w:rPr>
      </w:pPr>
      <w:r>
        <w:rPr>
          <w:b/>
          <w:bCs/>
          <w:color w:val="auto"/>
          <w:sz w:val="18"/>
          <w:szCs w:val="18"/>
        </w:rPr>
      </w:r>
    </w:p>
    <w:p>
      <w:pPr>
        <w:pStyle w:val="Default"/>
        <w:bidi w:val="0"/>
        <w:spacing w:lineRule="atLeast" w:line="343" w:before="0" w:after="100"/>
        <w:ind w:left="0" w:right="0" w:hanging="0"/>
        <w:jc w:val="center"/>
        <w:rPr>
          <w:b/>
          <w:b/>
          <w:bCs/>
          <w:color w:val="auto"/>
          <w:sz w:val="18"/>
          <w:szCs w:val="18"/>
        </w:rPr>
      </w:pPr>
      <w:r>
        <w:rPr>
          <w:b/>
          <w:bCs/>
          <w:color w:val="auto"/>
          <w:sz w:val="18"/>
          <w:szCs w:val="18"/>
        </w:rPr>
      </w:r>
    </w:p>
    <w:p>
      <w:pPr>
        <w:pStyle w:val="Default"/>
        <w:bidi w:val="0"/>
        <w:spacing w:lineRule="atLeast" w:line="343" w:before="0" w:after="100"/>
        <w:ind w:left="0" w:right="0" w:hanging="0"/>
        <w:jc w:val="center"/>
        <w:rPr/>
      </w:pPr>
      <w:r>
        <w:rPr/>
      </w:r>
    </w:p>
    <w:sectPr>
      <w:type w:val="nextPage"/>
      <w:pgSz w:w="12240" w:h="15840"/>
      <w:pgMar w:left="1701" w:right="1701" w:gutter="0" w:header="0" w:top="2268" w:footer="0" w:bottom="1418"/>
      <w:pgNumType w:fmt="decimal"/>
      <w:formProt w:val="false"/>
      <w:textDirection w:val="lrTb"/>
      <w:rtlGutter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Trebuchet M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jc w:val="left"/>
      <w:textAlignment w:val="auto"/>
    </w:pPr>
    <w:rPr>
      <w:rFonts w:ascii="Courier" w:hAnsi="Courier" w:eastAsia="Courier" w:cs="Courier"/>
      <w:color w:val="auto"/>
      <w:kern w:val="2"/>
      <w:sz w:val="24"/>
      <w:szCs w:val="24"/>
      <w:lang w:val="es-ES_tradnl" w:eastAsia="es-ES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Table">
    <w:name w:val="Normal Table"/>
    <w:qFormat/>
    <w:pPr>
      <w:widowControl/>
      <w:bidi w:val="0"/>
      <w:spacing w:lineRule="auto" w:line="276" w:before="0" w:after="200"/>
      <w:jc w:val="left"/>
      <w:textAlignment w:val="auto"/>
    </w:pPr>
    <w:rPr>
      <w:rFonts w:ascii="Times New Roman" w:hAnsi="Times New Roman" w:eastAsia="Courier" w:cs="Times New Roman"/>
      <w:color w:val="auto"/>
      <w:kern w:val="2"/>
      <w:sz w:val="22"/>
      <w:szCs w:val="22"/>
      <w:lang w:val="es-BO" w:eastAsia="es-BO" w:bidi="ar-SA"/>
    </w:rPr>
  </w:style>
  <w:style w:type="paragraph" w:styleId="Default">
    <w:name w:val="Default"/>
    <w:qFormat/>
    <w:pPr>
      <w:widowControl w:val="false"/>
      <w:bidi w:val="0"/>
      <w:jc w:val="left"/>
      <w:textAlignment w:val="auto"/>
    </w:pPr>
    <w:rPr>
      <w:rFonts w:ascii="Trebuchet MS" w:hAnsi="Trebuchet MS" w:eastAsia="Courier" w:cs="Trebuchet MS"/>
      <w:color w:val="000000"/>
      <w:kern w:val="2"/>
      <w:sz w:val="24"/>
      <w:szCs w:val="24"/>
      <w:lang w:val="es-ES" w:eastAsia="es-ES" w:bidi="ar-SA"/>
    </w:rPr>
  </w:style>
  <w:style w:type="paragraph" w:styleId="CM3">
    <w:name w:val="CM3"/>
    <w:basedOn w:val="Default"/>
    <w:next w:val="Default"/>
    <w:qFormat/>
    <w:pPr>
      <w:widowControl w:val="false"/>
      <w:spacing w:before="0" w:after="220"/>
    </w:pPr>
    <w:rPr>
      <w:rFonts w:ascii="Trebuchet MS" w:hAnsi="Trebuchet MS" w:cs="Trebuchet MS"/>
      <w:lang w:val="es-ES"/>
    </w:rPr>
  </w:style>
  <w:style w:type="paragraph" w:styleId="CM1">
    <w:name w:val="CM1"/>
    <w:basedOn w:val="Default"/>
    <w:next w:val="Default"/>
    <w:qFormat/>
    <w:pPr>
      <w:widowControl w:val="false"/>
    </w:pPr>
    <w:rPr>
      <w:rFonts w:ascii="Trebuchet MS" w:hAnsi="Trebuchet MS" w:cs="Trebuchet MS"/>
      <w:lang w:val="es-ES"/>
    </w:rPr>
  </w:style>
  <w:style w:type="paragraph" w:styleId="CM2">
    <w:name w:val="CM2"/>
    <w:basedOn w:val="Default"/>
    <w:next w:val="Default"/>
    <w:qFormat/>
    <w:pPr>
      <w:widowControl w:val="false"/>
      <w:spacing w:lineRule="atLeast" w:line="218"/>
    </w:pPr>
    <w:rPr>
      <w:rFonts w:ascii="Trebuchet MS" w:hAnsi="Trebuchet MS" w:cs="Trebuchet MS"/>
      <w:lang w:val="es-E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99</Pages>
  <Words>189</Words>
  <Characters>1227</Characters>
  <CharactersWithSpaces>1040</CharactersWithSpaces>
  <Company>Tcorp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2007-12-04T15:17:00Z</dcterms:created>
  <dc:creator>vnuytens</dc:creator>
  <dc:description/>
  <dc:language>en-US</dc:language>
  <cp:lastModifiedBy/>
  <cp:lastPrinted>2017-05-16T18:31:00Z</cp:lastPrinted>
  <dcterms:modified xsi:type="dcterms:W3CDTF">2017-05-16T18:31:00Z</dcterms:modified>
  <cp:revision>37</cp:revision>
  <dc:subject/>
  <dc:title>NUEVAS ADQUISICIONES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Franz Brian Muñoz Nery</vt:lpwstr>
  </property>
</Properties>
</file>