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CLÁUSULA DE DAÑOS A CAUSA DE LA NATURALEZA  (A)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2948   </w:t>
      </w:r>
    </w:p>
    <w:p>
      <w:pPr>
        <w:pStyle w:val="Normal"/>
        <w:jc w:val="center"/>
        <w:rPr/>
      </w:pPr>
      <w:r>
        <w:rPr>
          <w:rFonts w:cs="Arial" w:ascii="Trebuchet MS" w:hAnsi="Trebuchet MS"/>
          <w:b/>
          <w:sz w:val="18"/>
          <w:szCs w:val="18"/>
        </w:rPr>
        <w:t xml:space="preserve">RESOLUCIÓN ADMINISTRATIVA APS/DS/No.782/2020 DE FECHA 13 DE AGOSTO DE 2020               </w:t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Se aclara que este seguro cubre los daños a los bienes asegurados, así como todos los eventos que se produjesen a consecuencia directa y/o indirecta de Riesgos de la Naturaleza en General, cualquiera sea el grado, intensidad o frecuencia.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Todos los demás términos y/o condiciones a excepción de lo expresamente variado por la presente cláusula, quedan en pleno vigor.</w:t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2020-08-17T18:42:00Z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2020-08-17T18:42:00Z</dcterms:modified>
  <cp:revision>2</cp:revision>
  <dc:subject/>
  <dc:title/>
</cp:coreProperties>
</file>