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;Trebuchet MS" w:hAnsi="Trebuchet MS;Trebuchet MS"/>
          <w:b/>
          <w:sz w:val="18"/>
          <w:szCs w:val="18"/>
        </w:rPr>
        <w:t xml:space="preserve">CÓDIGO ASIGNADO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  <w:u w:val="single"/>
        </w:rPr>
      </w:pPr>
      <w:r>
        <w:rPr>
          <w:rFonts w:cs="Arial" w:ascii="Trebuchet MS;Trebuchet MS" w:hAnsi="Trebuchet MS;Trebuchet MS"/>
          <w:b/>
          <w:sz w:val="18"/>
          <w:szCs w:val="18"/>
          <w:u w:val="single"/>
        </w:rPr>
      </w:r>
    </w:p>
    <w:p>
      <w:pPr>
        <w:pStyle w:val="Normal"/>
        <w:jc w:val="center"/>
        <w:rPr/>
      </w:pPr>
      <w:r>
        <w:rPr>
          <w:rFonts w:cs="Arial" w:ascii="Trebuchet MS;Trebuchet MS" w:hAnsi="Trebuchet MS;Trebuchet MS"/>
          <w:b/>
          <w:sz w:val="18"/>
          <w:szCs w:val="18"/>
        </w:rPr>
        <w:t xml:space="preserve">CLÁUSULA DE DAÑOS A CAUSA DE LA NATURALEZA </w:t>
      </w:r>
    </w:p>
    <w:p>
      <w:pPr>
        <w:pStyle w:val="Normal"/>
        <w:jc w:val="center"/>
        <w:rPr/>
      </w:pPr>
      <w:r>
        <w:rPr>
          <w:rFonts w:cs="Calibri" w:ascii="Trebuchet MS;Trebuchet MS" w:hAnsi="Trebuchet MS;Trebuchet MS"/>
          <w:b/>
          <w:sz w:val="18"/>
          <w:szCs w:val="18"/>
        </w:rPr>
        <w:t xml:space="preserve">CÓDIGO ASIGNADO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 xml:space="preserve">115-910101-2007 06 001 2818    </w:t>
      </w:r>
    </w:p>
    <w:p>
      <w:pPr>
        <w:pStyle w:val="Normal"/>
        <w:jc w:val="center"/>
        <w:rPr/>
      </w:pPr>
      <w:r>
        <w:rPr>
          <w:rFonts w:cs="Arial" w:ascii="Trebuchet MS;Trebuchet MS" w:hAnsi="Trebuchet MS;Trebuchet MS"/>
          <w:b/>
          <w:sz w:val="18"/>
          <w:szCs w:val="18"/>
        </w:rPr>
        <w:t xml:space="preserve">RESOLUCIÓN ADMINISTRATIVA APS/DS/No.832/2017 DE FECHA 05 DE JULIO DE 2017                </w:t>
      </w:r>
    </w:p>
    <w:p>
      <w:pPr>
        <w:pStyle w:val="Normal"/>
        <w:jc w:val="both"/>
        <w:rPr>
          <w:rFonts w:ascii="Trebuchet MS;Trebuchet MS" w:hAnsi="Trebuchet MS;Trebuchet MS" w:cs="Arial"/>
          <w:b/>
          <w:b/>
          <w:sz w:val="18"/>
          <w:szCs w:val="18"/>
          <w:u w:val="single"/>
        </w:rPr>
      </w:pPr>
      <w:r>
        <w:rPr>
          <w:rFonts w:cs="Arial" w:ascii="Trebuchet MS;Trebuchet MS" w:hAnsi="Trebuchet MS;Trebuchet MS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  <w:u w:val="single"/>
        </w:rPr>
      </w:pPr>
      <w:r>
        <w:rPr>
          <w:rFonts w:cs="Arial" w:ascii="Trebuchet MS;Trebuchet MS" w:hAnsi="Trebuchet MS;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  <w:u w:val="single"/>
        </w:rPr>
      </w:pPr>
      <w:r>
        <w:rPr>
          <w:rFonts w:cs="Arial" w:ascii="Trebuchet MS;Trebuchet MS" w:hAnsi="Trebuchet MS;Trebuchet MS"/>
          <w:sz w:val="18"/>
          <w:szCs w:val="18"/>
          <w:u w:val="single"/>
        </w:rPr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Se aclara que este seguro cubre los daños a los bienes asegurados, consecuencia directa de Vientos, Vientos huracanados, tempestad, ciclones, tornados, lluvias, inundaciones, riadas y deslizamiento de tierras.</w:t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  <w:t>Todos los demás términos y/o condiciones a excepción de lo expresamente variado por la presente cláusula, quedan en pleno vigor.</w:t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</w:rPr>
      </w:pPr>
      <w:r>
        <w:rPr>
          <w:rFonts w:cs="Arial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sz w:val="18"/>
          <w:szCs w:val="18"/>
        </w:rPr>
      </w:pPr>
      <w:r>
        <w:rPr>
          <w:rFonts w:cs="Arial" w:ascii="Trebuchet MS;Trebuchet MS" w:hAnsi="Trebuchet MS;Trebuchet MS"/>
          <w:sz w:val="18"/>
          <w:szCs w:val="18"/>
        </w:rPr>
      </w:r>
    </w:p>
    <w:sectPr>
      <w:type w:val="nextPage"/>
      <w:pgSz w:w="11906" w:h="16838"/>
      <w:pgMar w:left="1701" w:right="1701" w:gutter="0" w:header="0" w:top="1815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2017-07-11T16:11:00Z</dcterms:created>
  <dc:creator>acloma</dc:creator>
  <dc:description/>
  <cp:keywords/>
  <dc:language>en-US</dc:language>
  <cp:lastModifiedBy>Blanca Yola Iris Rivera Coronel</cp:lastModifiedBy>
  <cp:lastPrinted>2017-07-11T16:10:00Z</cp:lastPrinted>
  <dcterms:modified xsi:type="dcterms:W3CDTF">2018-03-19T16:27:00Z</dcterms:modified>
  <cp:revision>3</cp:revision>
  <dc:subject/>
  <dc:title>ANEXO DE DAÑOS A CAUSAS DE LA NATURALEZA</dc:title>
</cp:coreProperties>
</file>