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/SPVS/IS/No. 577 de fecha 18 de Julio de 2007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CLÁUSULA DE DAÑOS A CHAPAS, CANDADOS, PUERTAS Y VENTANAS</w:t>
      </w:r>
    </w:p>
    <w:p>
      <w:pPr>
        <w:pStyle w:val="Normal"/>
        <w:ind w:left="640" w:firstLine="80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                             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06 001-2800</w:t>
      </w:r>
    </w:p>
    <w:p>
      <w:pPr>
        <w:pStyle w:val="Normal"/>
        <w:ind w:left="640" w:firstLine="80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/APS/DS/No. 199-2011 de fecha 02 de agosto de 2011</w:t>
      </w:r>
    </w:p>
    <w:p>
      <w:pPr>
        <w:pStyle w:val="Normal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  <w:t>Por el presente anexo se acuerda y conviene que la cobertura de seguro para el riesgo de Robo con Violencia otorgada bajo esta Póliza se extiende a cubrir los daños causados a chapas, candados, puertas y ventanas de propiedad del Asegurado, ubicados en los predios asegurados bajo esta Póliza, por la tentativa o consumación de los riesgos amparados en las correspondientes cláusulas de Robo adherida a la póliza y hasta la  correspondiente suma asegurada estipulada en las condiciones particulares para esta cláusula y de no estar establecida, se tomará como límite máximo la suma asegurada de la cobertura de Robo.</w:t>
      </w:r>
    </w:p>
    <w:p>
      <w:pPr>
        <w:pStyle w:val="Normal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bCs/>
          <w:sz w:val="18"/>
          <w:szCs w:val="18"/>
          <w:lang w:val="es-MX"/>
        </w:rPr>
        <w:t>“</w:t>
      </w: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  <w:t>NACIONAL SEGUROS PATRIMONIALES Y FIANZAS S.A.”</w:t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sectPr>
      <w:type w:val="nextPage"/>
      <w:pgSz w:w="12240" w:h="15840"/>
      <w:pgMar w:left="1418" w:right="1418" w:gutter="0" w:header="0" w:top="226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cs="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" w:hAnsi="Arial" w:eastAsia="Times New Roman" w:cs="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2010-09-17T08:05:00Z</dcterms:created>
  <dc:creator>Luis Enrique</dc:creator>
  <dc:description/>
  <cp:keywords/>
  <dc:language>en-US</dc:language>
  <cp:lastModifiedBy>Franz Brian Muñoz Nery</cp:lastModifiedBy>
  <cp:lastPrinted>2015-06-26T15:47:00Z</cp:lastPrinted>
  <dcterms:modified xsi:type="dcterms:W3CDTF">2015-06-26T15:47:00Z</dcterms:modified>
  <cp:revision>15</cp:revision>
  <dc:subject/>
  <dc:title>CLAUSULA DE EXTRATERRITORIALIDAD</dc:title>
</cp:coreProperties>
</file>