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Calibri" w:hAnsi="Calibri" w:cs="Calibri"/>
          <w:b/>
          <w:b/>
          <w:sz w:val="20"/>
          <w:szCs w:val="18"/>
        </w:rPr>
      </w:pPr>
      <w:r>
        <w:rPr>
          <w:rFonts w:cs="Calibri" w:ascii="Calibri" w:hAnsi="Calibri"/>
          <w:b/>
          <w:sz w:val="20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Calibri" w:hAnsi="Calibri" w:cs="Arial;Arial"/>
          <w:b/>
          <w:b/>
          <w:spacing w:val="-2"/>
          <w:sz w:val="20"/>
          <w:szCs w:val="18"/>
          <w:lang w:val="es-ES_tradnl"/>
        </w:rPr>
      </w:pPr>
      <w:r>
        <w:rPr>
          <w:rFonts w:cs="Arial;Arial" w:ascii="Calibri" w:hAnsi="Calibri"/>
          <w:b/>
          <w:spacing w:val="-2"/>
          <w:sz w:val="20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Calibri" w:hAnsi="Calibri"/>
          <w:b/>
          <w:sz w:val="20"/>
          <w:szCs w:val="18"/>
        </w:rPr>
        <w:t xml:space="preserve">Código asignado </w:t>
      </w:r>
      <w:r>
        <w:rPr>
          <w:rFonts w:cs="Calibri" w:ascii="Calibri" w:hAnsi="Calibri"/>
          <w:b/>
          <w:sz w:val="20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Calibri" w:hAnsi="Calibri" w:cs="Calibri"/>
          <w:b/>
          <w:b/>
          <w:sz w:val="20"/>
          <w:szCs w:val="18"/>
        </w:rPr>
      </w:pPr>
      <w:r>
        <w:rPr>
          <w:rFonts w:cs="Calibri" w:ascii="Calibri" w:hAnsi="Calibri"/>
          <w:b/>
          <w:sz w:val="20"/>
          <w:szCs w:val="18"/>
          <w:lang w:val="es-ES_tradnl"/>
        </w:rPr>
        <w:t xml:space="preserve">RESOLUCION ADMINISTRATIVA </w:t>
      </w:r>
      <w:r>
        <w:rPr>
          <w:rFonts w:cs="Arial;Arial" w:ascii="Calibri" w:hAnsi="Calibri"/>
          <w:b/>
          <w:spacing w:val="-2"/>
          <w:sz w:val="20"/>
          <w:szCs w:val="18"/>
          <w:lang w:val="es-ES_tradnl"/>
        </w:rPr>
        <w:t>SPVS/IS/No.</w:t>
      </w:r>
      <w:r>
        <w:rPr>
          <w:rFonts w:cs="Calibri" w:ascii="Calibri" w:hAnsi="Calibri"/>
          <w:b/>
          <w:sz w:val="20"/>
          <w:szCs w:val="18"/>
          <w:lang w:val="es-ES_tradnl"/>
        </w:rPr>
        <w:t xml:space="preserve"> 415/2007 DE 13 de junio de 2007    </w:t>
      </w:r>
    </w:p>
    <w:p>
      <w:pPr>
        <w:pStyle w:val="Normal"/>
        <w:rPr>
          <w:rFonts w:ascii="Calibri" w:hAnsi="Calibri" w:cs="Arial;Arial"/>
          <w:b/>
          <w:b/>
          <w:sz w:val="20"/>
          <w:szCs w:val="18"/>
          <w:u w:val="single"/>
        </w:rPr>
      </w:pPr>
      <w:r>
        <w:rPr>
          <w:rFonts w:cs="Arial;Arial" w:ascii="Calibri" w:hAnsi="Calibri"/>
          <w:b/>
          <w:sz w:val="20"/>
          <w:szCs w:val="18"/>
          <w:u w:val="single"/>
        </w:rPr>
      </w:r>
    </w:p>
    <w:p>
      <w:pPr>
        <w:pStyle w:val="Normal"/>
        <w:jc w:val="center"/>
        <w:rPr/>
      </w:pPr>
      <w:r>
        <w:rPr>
          <w:rFonts w:cs="Arial;Arial" w:ascii="Calibri" w:hAnsi="Calibri"/>
          <w:b/>
          <w:sz w:val="20"/>
          <w:szCs w:val="18"/>
        </w:rPr>
        <w:t xml:space="preserve">CLÁUSULA DE GASTOS DE EXTINCIÓN DE INCENDIO  </w:t>
      </w:r>
    </w:p>
    <w:p>
      <w:pPr>
        <w:pStyle w:val="Normal"/>
        <w:jc w:val="center"/>
        <w:rPr>
          <w:rFonts w:ascii="Calibri" w:hAnsi="Calibri" w:cs="Arial;Arial"/>
          <w:b/>
          <w:b/>
          <w:sz w:val="20"/>
          <w:szCs w:val="18"/>
        </w:rPr>
      </w:pPr>
      <w:r>
        <w:rPr>
          <w:rFonts w:cs="Arial;Arial" w:ascii="Calibri" w:hAnsi="Calibri"/>
          <w:b/>
          <w:sz w:val="20"/>
          <w:szCs w:val="18"/>
        </w:rPr>
        <w:t>Código Asignado 115-910101-2007 06 001 2824</w:t>
      </w:r>
    </w:p>
    <w:p>
      <w:pPr>
        <w:pStyle w:val="Normal"/>
        <w:jc w:val="center"/>
        <w:rPr>
          <w:rFonts w:ascii="Calibri" w:hAnsi="Calibri" w:cs="Arial;Arial"/>
          <w:b/>
          <w:b/>
          <w:sz w:val="20"/>
          <w:szCs w:val="18"/>
        </w:rPr>
      </w:pPr>
      <w:r>
        <w:rPr>
          <w:rFonts w:cs="Arial;Arial" w:ascii="Calibri" w:hAnsi="Calibri"/>
          <w:b/>
          <w:sz w:val="20"/>
          <w:szCs w:val="18"/>
        </w:rPr>
        <w:t>RESOLUCIÓN ADMINISTRATIVA</w:t>
      </w:r>
      <w:r>
        <w:rPr>
          <w:rFonts w:cs="Calibri" w:ascii="Calibri" w:hAnsi="Calibri"/>
          <w:sz w:val="28"/>
        </w:rPr>
        <w:t xml:space="preserve"> </w:t>
      </w:r>
      <w:r>
        <w:rPr>
          <w:rFonts w:cs="Arial;Arial" w:ascii="Calibri" w:hAnsi="Calibri"/>
          <w:b/>
          <w:sz w:val="20"/>
          <w:szCs w:val="18"/>
        </w:rPr>
        <w:t>APS/DS/No. 1223/2017 DE FECHA 02 DE OCTUBRE DE 2017</w:t>
      </w:r>
    </w:p>
    <w:p>
      <w:pPr>
        <w:pStyle w:val="Normal"/>
        <w:jc w:val="both"/>
        <w:rPr>
          <w:rFonts w:ascii="Calibri" w:hAnsi="Calibri" w:cs="Arial;Arial"/>
          <w:b/>
          <w:b/>
          <w:sz w:val="20"/>
          <w:szCs w:val="18"/>
          <w:u w:val="single"/>
        </w:rPr>
      </w:pPr>
      <w:r>
        <w:rPr>
          <w:rFonts w:cs="Arial;Arial" w:ascii="Calibri" w:hAnsi="Calibri"/>
          <w:b/>
          <w:sz w:val="20"/>
          <w:szCs w:val="18"/>
          <w:u w:val="single"/>
        </w:rPr>
      </w:r>
    </w:p>
    <w:p>
      <w:pPr>
        <w:pStyle w:val="Normal"/>
        <w:jc w:val="both"/>
        <w:rPr>
          <w:rFonts w:ascii="Calibri" w:hAnsi="Calibri" w:cs="Arial;Arial"/>
          <w:sz w:val="20"/>
          <w:szCs w:val="18"/>
          <w:u w:val="single"/>
        </w:rPr>
      </w:pPr>
      <w:r>
        <w:rPr>
          <w:rFonts w:cs="Arial;Arial" w:ascii="Calibri" w:hAnsi="Calibri"/>
          <w:sz w:val="20"/>
          <w:szCs w:val="18"/>
          <w:u w:val="single"/>
        </w:rPr>
      </w:r>
    </w:p>
    <w:p>
      <w:pPr>
        <w:pStyle w:val="Normal"/>
        <w:jc w:val="both"/>
        <w:rPr>
          <w:rFonts w:ascii="Calibri" w:hAnsi="Calibri" w:cs="Arial;Arial"/>
          <w:sz w:val="20"/>
          <w:szCs w:val="18"/>
          <w:u w:val="single"/>
        </w:rPr>
      </w:pPr>
      <w:r>
        <w:rPr>
          <w:rFonts w:cs="Arial;Arial" w:ascii="Calibri" w:hAnsi="Calibri"/>
          <w:sz w:val="20"/>
          <w:szCs w:val="18"/>
          <w:u w:val="single"/>
        </w:rPr>
      </w:r>
    </w:p>
    <w:p>
      <w:pPr>
        <w:pStyle w:val="Normal"/>
        <w:jc w:val="both"/>
        <w:rPr/>
      </w:pPr>
      <w:r>
        <w:rPr>
          <w:rFonts w:cs="Arial;Arial" w:ascii="Calibri" w:hAnsi="Calibri"/>
          <w:sz w:val="20"/>
          <w:szCs w:val="18"/>
        </w:rPr>
        <w:t>Se aclara que este seguro cubre los costos y gastos en que incurriera el Asegurado con el fin de extinguir un incendio cubierto e iniciado en los predios asegurados.</w:t>
      </w:r>
    </w:p>
    <w:p>
      <w:pPr>
        <w:pStyle w:val="Normal"/>
        <w:jc w:val="both"/>
        <w:rPr>
          <w:rFonts w:ascii="Calibri" w:hAnsi="Calibri" w:cs="Arial;Arial"/>
          <w:sz w:val="20"/>
          <w:szCs w:val="18"/>
        </w:rPr>
      </w:pPr>
      <w:r>
        <w:rPr>
          <w:rFonts w:cs="Arial;Arial" w:ascii="Calibri" w:hAnsi="Calibri"/>
          <w:sz w:val="20"/>
          <w:szCs w:val="18"/>
        </w:rPr>
      </w:r>
    </w:p>
    <w:p>
      <w:pPr>
        <w:pStyle w:val="Normal"/>
        <w:jc w:val="both"/>
        <w:rPr>
          <w:rFonts w:ascii="Calibri" w:hAnsi="Calibri" w:cs="Arial;Arial"/>
          <w:sz w:val="20"/>
          <w:szCs w:val="18"/>
        </w:rPr>
      </w:pPr>
      <w:r>
        <w:rPr>
          <w:rFonts w:cs="Arial;Arial" w:ascii="Calibri" w:hAnsi="Calibri"/>
          <w:sz w:val="20"/>
          <w:szCs w:val="18"/>
          <w:lang w:val="es-BO"/>
        </w:rPr>
        <w:t>Aun</w:t>
      </w:r>
      <w:r>
        <w:rPr>
          <w:rFonts w:cs="Arial;Arial" w:ascii="Calibri" w:hAnsi="Calibri"/>
          <w:sz w:val="20"/>
          <w:szCs w:val="18"/>
        </w:rPr>
        <w:t xml:space="preserve"> cuando los esfuerzos por extinguir el incendio hayan resultado total o parcialmente infructuosos, la responsabilidad máxima que asume la Compañía mediante esta Cláusula, queda limitada de acuerdo a los términos y condiciones estipuladas en las Condiciones Particulares de la  presente Póliza.</w:t>
      </w:r>
    </w:p>
    <w:p>
      <w:pPr>
        <w:pStyle w:val="Normal"/>
        <w:jc w:val="both"/>
        <w:rPr>
          <w:rFonts w:ascii="Calibri" w:hAnsi="Calibri" w:cs="Arial;Arial"/>
          <w:sz w:val="20"/>
          <w:szCs w:val="18"/>
        </w:rPr>
      </w:pPr>
      <w:r>
        <w:rPr>
          <w:rFonts w:cs="Arial;Arial" w:ascii="Calibri" w:hAnsi="Calibri"/>
          <w:sz w:val="20"/>
          <w:szCs w:val="18"/>
        </w:rPr>
      </w:r>
    </w:p>
    <w:p>
      <w:pPr>
        <w:pStyle w:val="Normal"/>
        <w:rPr>
          <w:rFonts w:ascii="Calibri" w:hAnsi="Calibri" w:cs="Arial;Arial"/>
          <w:sz w:val="20"/>
          <w:szCs w:val="18"/>
        </w:rPr>
      </w:pPr>
      <w:r>
        <w:rPr>
          <w:rFonts w:cs="Arial;Arial" w:ascii="Calibri" w:hAnsi="Calibri"/>
          <w:sz w:val="20"/>
          <w:szCs w:val="18"/>
        </w:rPr>
      </w:r>
    </w:p>
    <w:p>
      <w:pPr>
        <w:pStyle w:val="Normal"/>
        <w:rPr>
          <w:rFonts w:ascii="Calibri" w:hAnsi="Calibri" w:cs="Arial;Arial"/>
          <w:sz w:val="20"/>
          <w:szCs w:val="18"/>
        </w:rPr>
      </w:pPr>
      <w:r>
        <w:rPr>
          <w:rFonts w:cs="Arial;Arial" w:ascii="Calibri" w:hAnsi="Calibri"/>
          <w:sz w:val="20"/>
          <w:szCs w:val="18"/>
        </w:rPr>
      </w:r>
    </w:p>
    <w:p>
      <w:pPr>
        <w:pStyle w:val="Textoindependiente2"/>
        <w:rPr>
          <w:rFonts w:ascii="Calibri" w:hAnsi="Calibri" w:cs="Calibri"/>
          <w:sz w:val="20"/>
          <w:szCs w:val="18"/>
        </w:rPr>
      </w:pPr>
      <w:r>
        <w:rPr>
          <w:rFonts w:cs="Calibri" w:ascii="Calibri" w:hAnsi="Calibri"/>
          <w:sz w:val="20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20"/>
          <w:szCs w:val="18"/>
        </w:rPr>
      </w:pPr>
      <w:r>
        <w:rPr>
          <w:rFonts w:cs="Calibri" w:ascii="Calibri" w:hAnsi="Calibri"/>
          <w:b/>
          <w:sz w:val="20"/>
          <w:szCs w:val="18"/>
        </w:rPr>
        <w:t>“</w:t>
      </w:r>
      <w:r>
        <w:rPr>
          <w:rFonts w:cs="Calibri" w:ascii="Calibri" w:hAnsi="Calibri"/>
          <w:b/>
          <w:sz w:val="20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20"/>
          <w:szCs w:val="18"/>
        </w:rPr>
      </w:pPr>
      <w:r>
        <w:rPr>
          <w:rFonts w:cs="Calibri" w:ascii="Calibri" w:hAnsi="Calibri"/>
          <w:b/>
          <w:sz w:val="20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20"/>
          <w:szCs w:val="18"/>
        </w:rPr>
      </w:pPr>
      <w:r>
        <w:rPr>
          <w:rFonts w:cs="Calibri" w:ascii="Calibri" w:hAnsi="Calibri"/>
          <w:b/>
          <w:sz w:val="20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20"/>
          <w:szCs w:val="18"/>
        </w:rPr>
      </w:pPr>
      <w:r>
        <w:rPr>
          <w:rFonts w:cs="Calibri" w:ascii="Calibri" w:hAnsi="Calibri"/>
          <w:b/>
          <w:sz w:val="20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20"/>
          <w:szCs w:val="18"/>
        </w:rPr>
      </w:pPr>
      <w:r>
        <w:rPr>
          <w:rFonts w:cs="Calibri" w:ascii="Calibri" w:hAnsi="Calibri"/>
          <w:b/>
          <w:sz w:val="20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20"/>
          <w:szCs w:val="18"/>
        </w:rPr>
      </w:pPr>
      <w:r>
        <w:rPr>
          <w:rFonts w:cs="Calibri" w:ascii="Calibri" w:hAnsi="Calibri"/>
          <w:b/>
          <w:sz w:val="20"/>
          <w:szCs w:val="18"/>
        </w:rPr>
      </w:r>
    </w:p>
    <w:p>
      <w:pPr>
        <w:pStyle w:val="Normal"/>
        <w:rPr>
          <w:rFonts w:ascii="Calibri" w:hAnsi="Calibri" w:cs="Arial;Arial"/>
          <w:b/>
          <w:b/>
          <w:sz w:val="20"/>
          <w:szCs w:val="18"/>
        </w:rPr>
      </w:pPr>
      <w:r>
        <w:rPr>
          <w:rFonts w:cs="Arial;Arial" w:ascii="Calibri" w:hAnsi="Calibri"/>
          <w:b/>
          <w:sz w:val="20"/>
          <w:szCs w:val="18"/>
        </w:rPr>
      </w:r>
    </w:p>
    <w:p>
      <w:pPr>
        <w:pStyle w:val="Normal"/>
        <w:rPr>
          <w:rFonts w:ascii="Calibri" w:hAnsi="Calibri" w:cs="Arial;Arial"/>
          <w:sz w:val="20"/>
          <w:szCs w:val="18"/>
        </w:rPr>
      </w:pPr>
      <w:r>
        <w:rPr>
          <w:rFonts w:cs="Arial;Arial" w:ascii="Calibri" w:hAnsi="Calibri"/>
          <w:sz w:val="20"/>
          <w:szCs w:val="18"/>
        </w:rPr>
      </w:r>
    </w:p>
    <w:p>
      <w:pPr>
        <w:pStyle w:val="Normal"/>
        <w:rPr>
          <w:rFonts w:ascii="Calibri" w:hAnsi="Calibri" w:cs="Arial;Arial"/>
          <w:sz w:val="20"/>
          <w:szCs w:val="18"/>
        </w:rPr>
      </w:pPr>
      <w:r>
        <w:rPr>
          <w:rFonts w:cs="Arial;Arial" w:ascii="Calibri" w:hAnsi="Calibri"/>
          <w:sz w:val="20"/>
          <w:szCs w:val="18"/>
        </w:rPr>
      </w:r>
    </w:p>
    <w:p>
      <w:pPr>
        <w:pStyle w:val="Normal"/>
        <w:rPr>
          <w:rFonts w:ascii="Calibri" w:hAnsi="Calibri" w:cs="Arial;Arial"/>
          <w:sz w:val="20"/>
          <w:szCs w:val="18"/>
        </w:rPr>
      </w:pPr>
      <w:r>
        <w:rPr>
          <w:rFonts w:cs="Arial;Arial" w:ascii="Calibri" w:hAnsi="Calibri"/>
          <w:sz w:val="20"/>
          <w:szCs w:val="18"/>
        </w:rPr>
      </w:r>
    </w:p>
    <w:sectPr>
      <w:type w:val="nextPage"/>
      <w:pgSz w:w="11906" w:h="16838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2017-10-06T10:01:00Z</dcterms:created>
  <dc:creator>acloma</dc:creator>
  <dc:description/>
  <cp:keywords/>
  <dc:language>en-US</dc:language>
  <cp:lastModifiedBy>Mayra Salek Pedraza</cp:lastModifiedBy>
  <cp:lastPrinted>2018-11-13T17:10:00Z</cp:lastPrinted>
  <dcterms:modified xsi:type="dcterms:W3CDTF">2018-11-13T17:19:00Z</dcterms:modified>
  <cp:revision>9</cp:revision>
  <dc:subject/>
  <dc:title>ANEXO DE DAÑOS A CAUSAS DE LA NATURALEZA</dc:title>
</cp:coreProperties>
</file>