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autoSpaceDE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  <w:bookmarkStart w:id="0" w:name="Pg4"/>
      <w:bookmarkStart w:id="1" w:name="Pg4"/>
      <w:bookmarkEnd w:id="1"/>
    </w:p>
    <w:p>
      <w:pPr>
        <w:pStyle w:val="Normal"/>
        <w:widowControl w:val="false"/>
        <w:autoSpaceDE w:val="false"/>
        <w:spacing w:lineRule="exact" w:line="184"/>
        <w:ind w:left="1507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184"/>
        <w:ind w:left="1507" w:hanging="0"/>
        <w:jc w:val="right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  <w:tab/>
        <w:tab/>
        <w:tab/>
        <w:tab/>
        <w:tab/>
      </w:r>
    </w:p>
    <w:p>
      <w:pPr>
        <w:pStyle w:val="Normal"/>
        <w:widowControl w:val="false"/>
        <w:autoSpaceDE w:val="false"/>
        <w:spacing w:lineRule="exact" w:line="184"/>
        <w:ind w:left="1507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  <w:tab/>
        <w:tab/>
        <w:tab/>
        <w:tab/>
        <w:tab/>
      </w:r>
    </w:p>
    <w:p>
      <w:pPr>
        <w:pStyle w:val="Normal"/>
        <w:widowControl w:val="false"/>
        <w:autoSpaceDE w:val="false"/>
        <w:ind w:left="3261" w:hanging="1701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16"/>
          <w:sz w:val="18"/>
          <w:szCs w:val="18"/>
        </w:rPr>
      </w:r>
    </w:p>
    <w:p>
      <w:pPr>
        <w:pStyle w:val="Normal"/>
        <w:widowControl w:val="false"/>
        <w:autoSpaceDE w:val="false"/>
        <w:ind w:left="3261" w:hanging="0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16"/>
          <w:sz w:val="18"/>
          <w:szCs w:val="18"/>
        </w:rPr>
      </w:r>
    </w:p>
    <w:p>
      <w:pPr>
        <w:pStyle w:val="Normal"/>
        <w:widowControl w:val="false"/>
        <w:autoSpaceDE w:val="false"/>
        <w:ind w:left="3120" w:hanging="0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>Póliza de Seguro de Todo Riesgo de Daños a la Propiedad</w:t>
      </w:r>
    </w:p>
    <w:p>
      <w:pPr>
        <w:pStyle w:val="Normal"/>
        <w:widowControl w:val="false"/>
        <w:autoSpaceDE w:val="false"/>
        <w:ind w:left="3484" w:hanging="0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eastAsia="Trebuchet MS" w:cs="Trebuchet MS" w:ascii="Trebuchet MS" w:hAnsi="Trebuchet MS"/>
          <w:b/>
          <w:color w:val="000000"/>
          <w:w w:val="116"/>
          <w:sz w:val="18"/>
          <w:szCs w:val="18"/>
        </w:rPr>
        <w:t xml:space="preserve">          </w:t>
      </w: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>Código Asignado 115-910101-2007 06 001</w:t>
      </w:r>
    </w:p>
    <w:p>
      <w:pPr>
        <w:pStyle w:val="Normal"/>
        <w:widowControl w:val="false"/>
        <w:autoSpaceDE w:val="false"/>
        <w:rPr/>
      </w:pPr>
      <w:r>
        <w:rPr>
          <w:rFonts w:eastAsia="Trebuchet MS" w:cs="Trebuchet MS" w:ascii="Trebuchet MS" w:hAnsi="Trebuchet MS"/>
          <w:b/>
          <w:color w:val="000000"/>
          <w:w w:val="116"/>
          <w:sz w:val="18"/>
          <w:szCs w:val="18"/>
        </w:rPr>
        <w:t xml:space="preserve">                                       </w:t>
      </w: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>RESOLUCIÓN ADMINISTRATIVA/SPVS/IS/No. 415 de Fecha 13 de Junio de 2007</w:t>
      </w:r>
    </w:p>
    <w:p>
      <w:pPr>
        <w:pStyle w:val="Normal"/>
        <w:widowControl w:val="false"/>
        <w:autoSpaceDE w:val="false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16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253" w:before="98" w:after="0"/>
        <w:ind w:left="3484" w:hanging="0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eastAsia="Trebuchet MS" w:cs="Trebuchet MS" w:ascii="Trebuchet MS" w:hAnsi="Trebuchet MS"/>
          <w:b/>
          <w:color w:val="000000"/>
          <w:w w:val="116"/>
          <w:sz w:val="18"/>
          <w:szCs w:val="18"/>
        </w:rPr>
        <w:t xml:space="preserve">     </w:t>
      </w: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 xml:space="preserve">Cláusula de Redes de Servicios Subterráneos </w:t>
      </w:r>
    </w:p>
    <w:p>
      <w:pPr>
        <w:pStyle w:val="Normal"/>
        <w:widowControl w:val="false"/>
        <w:autoSpaceDE w:val="false"/>
        <w:ind w:left="3484" w:hanging="0"/>
        <w:rPr/>
      </w:pPr>
      <w:r>
        <w:rPr>
          <w:rFonts w:eastAsia="Trebuchet MS" w:cs="Trebuchet MS" w:ascii="Trebuchet MS" w:hAnsi="Trebuchet MS"/>
          <w:b/>
          <w:color w:val="000000"/>
          <w:w w:val="116"/>
          <w:sz w:val="18"/>
          <w:szCs w:val="18"/>
        </w:rPr>
        <w:t xml:space="preserve">    </w:t>
      </w: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>Código Asignado 115-910101-2007 06 001-2777</w:t>
      </w:r>
    </w:p>
    <w:p>
      <w:pPr>
        <w:pStyle w:val="Normal"/>
        <w:widowControl w:val="false"/>
        <w:autoSpaceDE w:val="false"/>
        <w:spacing w:lineRule="exact" w:line="260" w:before="26" w:after="0"/>
        <w:ind w:left="2068" w:right="983" w:hanging="0"/>
        <w:rPr>
          <w:rFonts w:ascii="Trebuchet MS" w:hAnsi="Trebuchet MS" w:cs="Arial"/>
          <w:b/>
          <w:b/>
          <w:color w:val="000000"/>
          <w:w w:val="116"/>
          <w:sz w:val="18"/>
          <w:szCs w:val="18"/>
        </w:rPr>
      </w:pPr>
      <w:r>
        <w:rPr>
          <w:rFonts w:eastAsia="Trebuchet MS" w:cs="Trebuchet MS" w:ascii="Trebuchet MS" w:hAnsi="Trebuchet MS"/>
          <w:b/>
          <w:color w:val="000000"/>
          <w:w w:val="116"/>
          <w:sz w:val="18"/>
          <w:szCs w:val="18"/>
        </w:rPr>
        <w:t xml:space="preserve">          </w:t>
      </w:r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>RESOLUCIÓN ASFI Nº 333/2009 de Fecha 16 de Octubre de 2009</w:t>
      </w:r>
    </w:p>
    <w:p>
      <w:pPr>
        <w:pStyle w:val="Normal"/>
        <w:widowControl w:val="false"/>
        <w:autoSpaceDE w:val="false"/>
        <w:spacing w:lineRule="exact" w:line="260" w:before="26" w:after="0"/>
        <w:ind w:left="2068" w:right="983" w:hanging="0"/>
        <w:jc w:val="both"/>
        <w:rPr>
          <w:rFonts w:ascii="Trebuchet MS" w:hAnsi="Trebuchet MS" w:cs="Trebuchet MS"/>
          <w:b/>
          <w:b/>
          <w:color w:val="000000"/>
          <w:w w:val="116"/>
          <w:sz w:val="18"/>
          <w:szCs w:val="18"/>
        </w:rPr>
      </w:pPr>
      <w:r>
        <w:rPr>
          <w:rFonts w:cs="Trebuchet MS" w:ascii="Trebuchet MS" w:hAnsi="Trebuchet MS"/>
          <w:b/>
          <w:color w:val="000000"/>
          <w:w w:val="116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260" w:before="26" w:after="0"/>
        <w:ind w:left="1560" w:right="1325" w:hanging="0"/>
        <w:jc w:val="both"/>
        <w:rPr/>
      </w:pPr>
      <w:r>
        <w:rPr>
          <w:rFonts w:cs="Trebuchet MS" w:ascii="Trebuchet MS" w:hAnsi="Trebuchet MS"/>
          <w:color w:val="000000"/>
          <w:w w:val="116"/>
          <w:sz w:val="18"/>
          <w:szCs w:val="18"/>
        </w:rPr>
        <w:t xml:space="preserve">Se toma nota y se acuerda que, sujeto a los términos, excepciones y condiciones de la </w:t>
        <w:br/>
      </w:r>
      <w:r>
        <w:rPr>
          <w:rFonts w:cs="Trebuchet MS" w:ascii="Trebuchet MS" w:hAnsi="Trebuchet MS"/>
          <w:color w:val="000000"/>
          <w:w w:val="113"/>
          <w:sz w:val="18"/>
          <w:szCs w:val="18"/>
        </w:rPr>
        <w:t xml:space="preserve">presente cobertura, los Aseguradores solamente indemnizaran </w:t>
      </w:r>
      <w:r>
        <w:rPr>
          <w:rFonts w:cs="Trebuchet MS" w:ascii="Trebuchet MS" w:hAnsi="Trebuchet MS"/>
          <w:color w:val="000000"/>
          <w:w w:val="116"/>
          <w:sz w:val="18"/>
          <w:szCs w:val="18"/>
        </w:rPr>
        <w:t xml:space="preserve">al Asegurado respecto de </w:t>
        <w:br/>
        <w:t xml:space="preserve">pérdidas o daños a los cables existentes y/o tuberías u otros servicios siempre y cuando </w:t>
        <w:br/>
        <w:t xml:space="preserve">haya tomado conocimiento de las autoridades competentes respecto de la localización </w:t>
        <w:br/>
        <w:t xml:space="preserve">exacta de los mencionados cables, tuberías u otros servicios antes del inicio de las obras. </w:t>
      </w:r>
    </w:p>
    <w:p>
      <w:pPr>
        <w:pStyle w:val="Normal"/>
        <w:widowControl w:val="false"/>
        <w:autoSpaceDE w:val="false"/>
        <w:spacing w:lineRule="exact" w:line="260" w:before="260" w:after="0"/>
        <w:ind w:left="1560" w:right="1325" w:hanging="0"/>
        <w:jc w:val="both"/>
        <w:rPr/>
      </w:pPr>
      <w:r>
        <w:rPr>
          <w:rFonts w:cs="Trebuchet MS" w:ascii="Trebuchet MS" w:hAnsi="Trebuchet MS"/>
          <w:color w:val="000000"/>
          <w:w w:val="116"/>
          <w:sz w:val="18"/>
          <w:szCs w:val="18"/>
        </w:rPr>
        <w:t xml:space="preserve">La indemnización deberá (en cualquier caso) ser restringida al costo efectivo de reparación o reemplazo de dichos cables, tuberías u otros servicios según sea valuado por un Inspector Independiente, y no se deberá extender a cubrir cualquier costo adicional por la pérdida del uso o penalizaciones y/o por las cuales pueda ser impuestas al Asegurado por las Autoridades competentes como resultado de una pérdida y/o daño consecuencial. </w:t>
      </w:r>
    </w:p>
    <w:p>
      <w:pPr>
        <w:pStyle w:val="Normal"/>
        <w:widowControl w:val="false"/>
        <w:autoSpaceDE w:val="false"/>
        <w:spacing w:lineRule="exact" w:line="260" w:before="260" w:after="0"/>
        <w:ind w:left="1560" w:right="1325" w:hanging="0"/>
        <w:jc w:val="both"/>
        <w:rPr/>
      </w:pPr>
      <w:r>
        <w:rPr>
          <w:rFonts w:cs="Trebuchet MS" w:ascii="Trebuchet MS" w:hAnsi="Trebuchet MS"/>
          <w:color w:val="000000"/>
          <w:w w:val="116"/>
          <w:sz w:val="18"/>
          <w:szCs w:val="18"/>
        </w:rPr>
        <w:t xml:space="preserve">Todos los demás términos y condiciones de la Póliza, salvo los expresamente modificados por este Anexo quedan vigentes y sin cambio alguno. </w:t>
      </w:r>
    </w:p>
    <w:p>
      <w:pPr>
        <w:pStyle w:val="Normal"/>
        <w:widowControl w:val="false"/>
        <w:autoSpaceDE w:val="false"/>
        <w:spacing w:lineRule="exact" w:line="253" w:before="253" w:after="0"/>
        <w:rPr>
          <w:rFonts w:ascii="Trebuchet MS" w:hAnsi="Trebuchet MS" w:cs="Trebuchet MS"/>
          <w:color w:val="000000"/>
          <w:spacing w:val="-4"/>
          <w:w w:val="116"/>
          <w:sz w:val="18"/>
          <w:szCs w:val="18"/>
        </w:rPr>
      </w:pPr>
      <w:r>
        <w:rPr>
          <w:rFonts w:cs="Trebuchet MS" w:ascii="Trebuchet MS" w:hAnsi="Trebuchet MS"/>
          <w:color w:val="000000"/>
          <w:spacing w:val="-4"/>
          <w:w w:val="116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253"/>
        <w:ind w:left="5587" w:hanging="0"/>
        <w:rPr>
          <w:rFonts w:ascii="Trebuchet MS" w:hAnsi="Trebuchet MS" w:cs="Trebuchet MS"/>
          <w:color w:val="000000"/>
          <w:spacing w:val="-4"/>
          <w:w w:val="103"/>
          <w:sz w:val="18"/>
          <w:szCs w:val="18"/>
        </w:rPr>
      </w:pPr>
      <w:r>
        <w:rPr>
          <w:rFonts w:cs="Trebuchet MS" w:ascii="Trebuchet MS" w:hAnsi="Trebuchet MS"/>
          <w:color w:val="000000"/>
          <w:spacing w:val="-4"/>
          <w:w w:val="103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276"/>
        <w:ind w:left="2640" w:firstLine="80"/>
        <w:rPr>
          <w:rFonts w:ascii="Trebuchet MS" w:hAnsi="Trebuchet MS" w:cs="Arial"/>
          <w:b/>
          <w:b/>
          <w:color w:val="000000"/>
          <w:w w:val="113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color w:val="000000"/>
          <w:w w:val="113"/>
          <w:sz w:val="18"/>
          <w:szCs w:val="18"/>
          <w:lang w:val="es-BO"/>
        </w:rPr>
        <w:t xml:space="preserve">    </w:t>
      </w:r>
      <w:r>
        <w:rPr>
          <w:rFonts w:cs="Arial" w:ascii="Trebuchet MS" w:hAnsi="Trebuchet MS"/>
          <w:b/>
          <w:color w:val="000000"/>
          <w:w w:val="113"/>
          <w:sz w:val="18"/>
          <w:szCs w:val="18"/>
          <w:lang w:val="es-BO"/>
        </w:rPr>
        <w:t>“</w:t>
      </w:r>
      <w:r>
        <w:rPr>
          <w:rFonts w:cs="Arial" w:ascii="Trebuchet MS" w:hAnsi="Trebuchet MS"/>
          <w:b/>
          <w:color w:val="000000"/>
          <w:w w:val="113"/>
          <w:sz w:val="18"/>
          <w:szCs w:val="18"/>
          <w:lang w:val="es-BO"/>
        </w:rPr>
        <w:t>NACIONAL SEGUROS PATRIMONIALES Y FIANZAS S.A.”</w:t>
      </w:r>
    </w:p>
    <w:p>
      <w:pPr>
        <w:pStyle w:val="Normal"/>
        <w:widowControl w:val="false"/>
        <w:autoSpaceDE w:val="false"/>
        <w:spacing w:lineRule="exact" w:line="276"/>
        <w:ind w:left="5265" w:hanging="0"/>
        <w:rPr>
          <w:rFonts w:ascii="Trebuchet MS" w:hAnsi="Trebuchet MS" w:cs="Arial"/>
          <w:b/>
          <w:b/>
          <w:color w:val="000000"/>
          <w:w w:val="113"/>
          <w:sz w:val="18"/>
          <w:szCs w:val="18"/>
          <w:lang w:val="es-BO"/>
        </w:rPr>
      </w:pPr>
      <w:r>
        <w:rPr>
          <w:rFonts w:cs="Arial" w:ascii="Trebuchet MS" w:hAnsi="Trebuchet MS"/>
          <w:b/>
          <w:color w:val="000000"/>
          <w:w w:val="113"/>
          <w:sz w:val="18"/>
          <w:szCs w:val="18"/>
          <w:lang w:val="es-BO"/>
        </w:rPr>
      </w:r>
    </w:p>
    <w:p>
      <w:pPr>
        <w:pStyle w:val="Normal"/>
        <w:widowControl w:val="false"/>
        <w:autoSpaceDE w:val="false"/>
        <w:spacing w:lineRule="exact" w:line="276"/>
        <w:ind w:left="5265" w:hanging="0"/>
        <w:rPr>
          <w:rFonts w:ascii="Trebuchet MS" w:hAnsi="Trebuchet MS" w:cs="Arial"/>
          <w:color w:val="000000"/>
          <w:w w:val="113"/>
          <w:sz w:val="18"/>
          <w:szCs w:val="18"/>
        </w:rPr>
      </w:pPr>
      <w:r>
        <w:rPr>
          <w:rFonts w:cs="Arial" w:ascii="Trebuchet MS" w:hAnsi="Trebuchet MS"/>
          <w:color w:val="000000"/>
          <w:w w:val="113"/>
          <w:sz w:val="18"/>
          <w:szCs w:val="18"/>
        </w:rPr>
      </w:r>
    </w:p>
    <w:p>
      <w:pPr>
        <w:pStyle w:val="Normal"/>
        <w:widowControl w:val="false"/>
        <w:autoSpaceDE w:val="false"/>
        <w:spacing w:lineRule="exact" w:line="276"/>
        <w:ind w:left="5265" w:hanging="0"/>
        <w:rPr>
          <w:rFonts w:ascii="Trebuchet MS" w:hAnsi="Trebuchet MS" w:cs="Arial"/>
          <w:b/>
          <w:b/>
          <w:color w:val="000000"/>
          <w:w w:val="113"/>
          <w:sz w:val="18"/>
          <w:szCs w:val="18"/>
        </w:rPr>
      </w:pPr>
      <w:r>
        <w:rPr>
          <w:rFonts w:cs="Arial" w:ascii="Trebuchet MS" w:hAnsi="Trebuchet MS"/>
          <w:b/>
          <w:color w:val="000000"/>
          <w:w w:val="113"/>
          <w:sz w:val="18"/>
          <w:szCs w:val="18"/>
        </w:rPr>
      </w:r>
    </w:p>
    <w:sectPr>
      <w:type w:val="nextPage"/>
      <w:pgSz w:w="12240" w:h="15840"/>
      <w:pgMar w:left="232" w:right="232" w:gutter="0" w:header="0" w:top="232" w:footer="0" w:bottom="23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80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2009-08-21T10:43:00Z</dcterms:created>
  <dc:creator>mvargas</dc:creator>
  <dc:description/>
  <cp:keywords/>
  <dc:language>en-US</dc:language>
  <cp:lastModifiedBy>Jaime Alejandro Beltran</cp:lastModifiedBy>
  <cp:lastPrinted>2009-08-21T18:03:00Z</cp:lastPrinted>
  <dcterms:modified xsi:type="dcterms:W3CDTF">2015-06-24T09:53:00Z</dcterms:modified>
  <cp:revision>20</cp:revision>
  <dc:subject/>
  <dc:title>de Seguros y Reaseguros S</dc:title>
</cp:coreProperties>
</file>