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val="false"/>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t>PÓLIZA DE SEGURO DE TODO RIESGO DE DAÑOS A LA PROPIEDAD</w:t>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t>Código Asignado 115-910101-2007 06 001</w:t>
      </w:r>
    </w:p>
    <w:p>
      <w:pPr>
        <w:pStyle w:val="Normal"/>
        <w:jc w:val="center"/>
        <w:rPr/>
      </w:pPr>
      <w:r>
        <w:rPr>
          <w:rFonts w:cs="Arial;Arial" w:ascii="Trebuchet MS;Trebuchet MS" w:hAnsi="Trebuchet MS;Trebuchet MS"/>
          <w:b/>
          <w:sz w:val="18"/>
          <w:szCs w:val="18"/>
        </w:rPr>
        <w:t>RESOLUCIÓN ADMINISTRATIVA /SPVS/IS/No. 415 de fecha 13 de Junio de 2007</w:t>
      </w:r>
    </w:p>
    <w:p>
      <w:pPr>
        <w:pStyle w:val="Normal"/>
        <w:widowControl w:val="false"/>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r>
    </w:p>
    <w:p>
      <w:pPr>
        <w:pStyle w:val="Normal"/>
        <w:widowControl w:val="false"/>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r>
    </w:p>
    <w:p>
      <w:pPr>
        <w:pStyle w:val="Heading2"/>
        <w:rPr/>
      </w:pPr>
      <w:r>
        <w:rPr>
          <w:rFonts w:cs="Trebuchet MS;Trebuchet MS" w:ascii="Trebuchet MS;Trebuchet MS" w:hAnsi="Trebuchet MS;Trebuchet MS"/>
          <w:sz w:val="18"/>
          <w:szCs w:val="18"/>
          <w:u w:val="none"/>
        </w:rPr>
        <w:t>CLÁUSULA DE RESCISIÓN DEL CONTRATO A PRORRATA</w:t>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t>Código Asignado 115-910101-2007 06 001-2413</w:t>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t>RESOLUCIÓN ASFI Nº 169/2009 de fecha 03 de Septiembre de 2009</w:t>
      </w:r>
    </w:p>
    <w:p>
      <w:pPr>
        <w:pStyle w:val="Normal"/>
        <w:widowControl w:val="false"/>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r>
    </w:p>
    <w:p>
      <w:pPr>
        <w:pStyle w:val="Normal"/>
        <w:widowControl w:val="false"/>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widowControl w:val="false"/>
        <w:rPr>
          <w:rFonts w:ascii="Trebuchet MS;Trebuchet MS" w:hAnsi="Trebuchet MS;Trebuchet MS" w:cs="Trebuchet MS;Trebuchet MS"/>
          <w:sz w:val="18"/>
          <w:szCs w:val="18"/>
        </w:rPr>
      </w:pPr>
      <w:r>
        <w:rPr>
          <w:rFonts w:cs="Trebuchet MS;Trebuchet MS" w:ascii="Trebuchet MS;Trebuchet MS" w:hAnsi="Trebuchet MS;Trebuchet MS"/>
          <w:sz w:val="18"/>
          <w:szCs w:val="18"/>
        </w:rPr>
        <w:t>No obstante lo estipulado en el Art. 1024 del Código de Comercio en actual vigencia en caso de que el asegurado ejerza unilateralmente su facultad de rescindir la Compañía de Seguros, se  compromete a:</w:t>
      </w:r>
    </w:p>
    <w:p>
      <w:pPr>
        <w:pStyle w:val="Normal"/>
        <w:widowControl w:val="false"/>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widowControl w:val="false"/>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numPr>
          <w:ilvl w:val="0"/>
          <w:numId w:val="2"/>
        </w:numPr>
        <w:tabs>
          <w:tab w:val="clear" w:pos="708"/>
          <w:tab w:val="left" w:pos="1134" w:leader="none"/>
        </w:tabs>
        <w:ind w:left="1134" w:hanging="567"/>
        <w:jc w:val="both"/>
        <w:rPr/>
      </w:pPr>
      <w:r>
        <w:rPr>
          <w:rFonts w:cs="Trebuchet MS;Trebuchet MS" w:ascii="Trebuchet MS;Trebuchet MS" w:hAnsi="Trebuchet MS;Trebuchet MS"/>
          <w:sz w:val="18"/>
          <w:szCs w:val="18"/>
        </w:rPr>
        <w:t>Devolver a Prorrata la parte de la prima de seguro por el tiempo no corrido y no así en base a la Tabla de Plazos Cortos, para lo cual tendrá en cuenta que si ha indemnizado un siniestro por un monto superior al 85% de la prima neta anual de la Póliza, ésta será considerada como íntegramente ganada  por la Compañía  consecuentemente, no se admitirá la</w:t>
      </w:r>
      <w:r>
        <w:rPr>
          <w:rFonts w:cs="Trebuchet MS;Trebuchet MS" w:ascii="Trebuchet MS;Trebuchet MS" w:hAnsi="Trebuchet MS;Trebuchet MS"/>
          <w:color w:val="000000"/>
          <w:sz w:val="18"/>
          <w:szCs w:val="18"/>
        </w:rPr>
        <w:t xml:space="preserve"> devolución de primas en caso de anulación posterior.  </w:t>
      </w:r>
    </w:p>
    <w:p>
      <w:pPr>
        <w:pStyle w:val="Normal"/>
        <w:jc w:val="both"/>
        <w:rPr>
          <w:rFonts w:ascii="Trebuchet MS;Trebuchet MS" w:hAnsi="Trebuchet MS;Trebuchet MS" w:cs="Trebuchet MS;Trebuchet MS"/>
          <w:color w:val="000000"/>
          <w:sz w:val="18"/>
          <w:szCs w:val="18"/>
        </w:rPr>
      </w:pPr>
      <w:r>
        <w:rPr>
          <w:rFonts w:cs="Trebuchet MS;Trebuchet MS" w:ascii="Trebuchet MS;Trebuchet MS" w:hAnsi="Trebuchet MS;Trebuchet MS"/>
          <w:color w:val="000000"/>
          <w:sz w:val="18"/>
          <w:szCs w:val="18"/>
        </w:rPr>
      </w:r>
    </w:p>
    <w:p>
      <w:pPr>
        <w:pStyle w:val="Normal"/>
        <w:widowControl w:val="false"/>
        <w:ind w:left="720" w:firstLine="720"/>
        <w:rPr>
          <w:rFonts w:ascii="Trebuchet MS;Trebuchet MS" w:hAnsi="Trebuchet MS;Trebuchet MS" w:cs="Trebuchet MS;Trebuchet MS"/>
          <w:color w:val="000000"/>
          <w:sz w:val="18"/>
          <w:szCs w:val="18"/>
        </w:rPr>
      </w:pPr>
      <w:r>
        <w:rPr>
          <w:rFonts w:cs="Trebuchet MS;Trebuchet MS" w:ascii="Trebuchet MS;Trebuchet MS" w:hAnsi="Trebuchet MS;Trebuchet MS"/>
          <w:color w:val="000000"/>
          <w:sz w:val="18"/>
          <w:szCs w:val="18"/>
        </w:rPr>
      </w:r>
    </w:p>
    <w:p>
      <w:pPr>
        <w:pStyle w:val="Normal"/>
        <w:widowControl w:val="false"/>
        <w:numPr>
          <w:ilvl w:val="0"/>
          <w:numId w:val="2"/>
        </w:numPr>
        <w:tabs>
          <w:tab w:val="clear" w:pos="708"/>
          <w:tab w:val="left" w:pos="1134" w:leader="none"/>
        </w:tabs>
        <w:ind w:left="1134" w:hanging="567"/>
        <w:rPr>
          <w:rFonts w:ascii="Trebuchet MS;Trebuchet MS" w:hAnsi="Trebuchet MS;Trebuchet MS" w:cs="Trebuchet MS;Trebuchet MS"/>
          <w:sz w:val="18"/>
          <w:szCs w:val="18"/>
        </w:rPr>
      </w:pPr>
      <w:r>
        <w:rPr>
          <w:rFonts w:cs="Trebuchet MS;Trebuchet MS" w:ascii="Trebuchet MS;Trebuchet MS" w:hAnsi="Trebuchet MS;Trebuchet MS"/>
          <w:sz w:val="18"/>
          <w:szCs w:val="18"/>
        </w:rPr>
        <w:t>La rescisión producirá sus efectos desde que el Asegurador haya recibido oficialmente la notificación respectiva.</w:t>
      </w:r>
    </w:p>
    <w:p>
      <w:pPr>
        <w:pStyle w:val="Normal"/>
        <w:widowControl w:val="false"/>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widowControl w:val="false"/>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widowControl w:val="false"/>
        <w:rPr>
          <w:rFonts w:ascii="Trebuchet MS;Trebuchet MS" w:hAnsi="Trebuchet MS;Trebuchet MS" w:cs="Trebuchet MS;Trebuchet MS"/>
          <w:sz w:val="18"/>
          <w:szCs w:val="18"/>
        </w:rPr>
      </w:pPr>
      <w:r>
        <w:rPr>
          <w:rFonts w:cs="Trebuchet MS;Trebuchet MS" w:ascii="Trebuchet MS;Trebuchet MS" w:hAnsi="Trebuchet MS;Trebuchet MS"/>
          <w:sz w:val="18"/>
          <w:szCs w:val="18"/>
        </w:rPr>
        <w:t>Todas las demás Condiciones Particulares y Generales de la Póliza, se mantienen sin alteración.</w:t>
      </w:r>
    </w:p>
    <w:p>
      <w:pPr>
        <w:pStyle w:val="Normal"/>
        <w:widowControl w:val="false"/>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jc w:val="both"/>
        <w:rPr>
          <w:rFonts w:ascii="Trebuchet MS;Trebuchet MS" w:hAnsi="Trebuchet MS;Trebuchet MS" w:cs="Trebuchet MS;Trebuchet MS"/>
          <w:sz w:val="18"/>
          <w:szCs w:val="18"/>
          <w:lang w:val="es-ES_tradnl"/>
        </w:rPr>
      </w:pPr>
      <w:r>
        <w:rPr>
          <w:rFonts w:cs="Trebuchet MS;Trebuchet MS" w:ascii="Trebuchet MS;Trebuchet MS" w:hAnsi="Trebuchet MS;Trebuchet MS"/>
          <w:sz w:val="18"/>
          <w:szCs w:val="18"/>
          <w:lang w:val="es-ES_tradnl"/>
        </w:rPr>
      </w:r>
    </w:p>
    <w:p>
      <w:pPr>
        <w:pStyle w:val="Normal"/>
        <w:jc w:val="center"/>
        <w:rPr>
          <w:rFonts w:ascii="Trebuchet MS;Trebuchet MS" w:hAnsi="Trebuchet MS;Trebuchet MS" w:cs="Trebuchet MS;Trebuchet MS"/>
          <w:sz w:val="18"/>
          <w:szCs w:val="18"/>
          <w:lang w:val="es-ES_tradnl"/>
        </w:rPr>
      </w:pPr>
      <w:r>
        <w:rPr>
          <w:rFonts w:cs="Trebuchet MS;Trebuchet MS" w:ascii="Trebuchet MS;Trebuchet MS" w:hAnsi="Trebuchet MS;Trebuchet MS"/>
          <w:sz w:val="18"/>
          <w:szCs w:val="18"/>
          <w:lang w:val="es-ES_tradnl"/>
        </w:rPr>
      </w:r>
    </w:p>
    <w:p>
      <w:pPr>
        <w:pStyle w:val="Normal"/>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t>“</w:t>
      </w:r>
      <w:r>
        <w:rPr>
          <w:rFonts w:cs="Trebuchet MS;Trebuchet MS" w:ascii="Trebuchet MS;Trebuchet MS" w:hAnsi="Trebuchet MS;Trebuchet MS"/>
          <w:b/>
          <w:sz w:val="18"/>
          <w:szCs w:val="18"/>
        </w:rPr>
        <w:t>NACIONAL SEGUROS PATRIMONIALES Y FIANZAS S.A.”</w:t>
      </w:r>
    </w:p>
    <w:p>
      <w:pPr>
        <w:pStyle w:val="Normal"/>
        <w:jc w:val="both"/>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right"/>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right"/>
        <w:rPr>
          <w:rFonts w:ascii="Trebuchet MS;Trebuchet MS" w:hAnsi="Trebuchet MS;Trebuchet MS" w:cs="Arial;Arial"/>
          <w:sz w:val="18"/>
          <w:szCs w:val="18"/>
        </w:rPr>
      </w:pPr>
      <w:r>
        <w:rPr>
          <w:rFonts w:cs="Arial;Arial" w:ascii="Trebuchet MS;Trebuchet MS" w:hAnsi="Trebuchet MS;Trebuchet MS"/>
          <w:sz w:val="18"/>
          <w:szCs w:val="18"/>
        </w:rPr>
      </w:r>
    </w:p>
    <w:sectPr>
      <w:type w:val="nextPage"/>
      <w:pgSz w:w="11906" w:h="16838"/>
      <w:pgMar w:left="1701" w:right="1701" w:gutter="0" w:header="0" w:top="226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Liberation Sans">
    <w:altName w:val="Arial"/>
    <w:charset w:val="01"/>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323"/>
        </w:tabs>
        <w:ind w:left="2323" w:hanging="360"/>
      </w:pPr>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0"/>
      <w:szCs w:val="20"/>
      <w:lang w:val="es-ES" w:bidi="ar-SA" w:eastAsia="zh-CN"/>
    </w:rPr>
  </w:style>
  <w:style w:type="paragraph" w:styleId="Heading2">
    <w:name w:val="Heading 2"/>
    <w:basedOn w:val="Normal"/>
    <w:next w:val="Normal"/>
    <w:qFormat/>
    <w:pPr>
      <w:keepNext w:val="true"/>
      <w:widowControl w:val="false"/>
      <w:numPr>
        <w:ilvl w:val="1"/>
        <w:numId w:val="1"/>
      </w:numPr>
      <w:jc w:val="center"/>
      <w:outlineLvl w:val="1"/>
    </w:pPr>
    <w:rPr>
      <w:b/>
      <w:sz w:val="24"/>
      <w:u w:val="single"/>
    </w:rPr>
  </w:style>
  <w:style w:type="character" w:styleId="WW8Num1z0">
    <w:name w:val="WW8Num1z0"/>
    <w:qFormat/>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2009-09-11T15:17:00Z</dcterms:created>
  <dc:creator>acloma</dc:creator>
  <dc:description/>
  <cp:keywords/>
  <dc:language>en-US</dc:language>
  <cp:lastModifiedBy>Carmen R. Llusco Gomez</cp:lastModifiedBy>
  <dcterms:modified xsi:type="dcterms:W3CDTF">2015-06-24T17:55:00Z</dcterms:modified>
  <cp:revision>9</cp:revision>
  <dc:subject/>
  <dc:title>PÓLIZA DE SEGURO DE TODO RIESGO DE DAÑOS A LA PROPIEDAD</dc:title>
</cp:coreProperties>
</file>