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cs="Arial" w:ascii="Trebuchet MS" w:hAnsi="Trebuchet MS"/>
          <w:b/>
          <w:sz w:val="18"/>
          <w:szCs w:val="18"/>
          <w:lang w:val="es-BO"/>
        </w:rPr>
        <w:tab/>
        <w:t xml:space="preserve">                              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/>
      </w:pPr>
      <w:r>
        <w:rPr>
          <w:rFonts w:cs="Trebuchet MS" w:ascii="Trebuchet MS" w:hAnsi="Trebuchet MS"/>
          <w:b/>
          <w:sz w:val="18"/>
          <w:szCs w:val="18"/>
        </w:rPr>
        <w:t>CLÁUSULA DE RIESGO DE TIFON, CICLON Y HURACAN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06 001-2595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Arial" w:hAnsi="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" w:hAnsi="Arial" w:cs="Arial"/>
          <w:b/>
          <w:b/>
          <w:spacing w:val="-3"/>
          <w:sz w:val="18"/>
          <w:szCs w:val="18"/>
          <w:lang w:val="es-ES_tradnl"/>
        </w:rPr>
      </w:pPr>
      <w:r>
        <w:rPr>
          <w:rFonts w:cs="Arial" w:ascii="Arial" w:hAnsi="Arial"/>
          <w:b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Queda entendido y convenido que en adición a los términos, exclusiones, Cláusulas y condiciones contenidos en la Póliza o en ellas endosados, y sujeto  al pago previo de la prima adicional  por parte del Asegurado, este Seguro se extiende a cubrir el riesgo de Tifón, ciclón y huracán hasta un límite de $........ por acontecimiento.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3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BO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pacing w:val="-3"/>
          <w:sz w:val="18"/>
          <w:szCs w:val="18"/>
        </w:rPr>
      </w:pPr>
      <w:r>
        <w:rPr>
          <w:rFonts w:cs="Arial" w:ascii="Arial Black" w:hAnsi="Arial Black"/>
          <w:b/>
          <w:spacing w:val="-3"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2007-04-26T16:41:00Z</dcterms:created>
  <dc:creator>Luis Enrique</dc:creator>
  <dc:description/>
  <cp:keywords/>
  <dc:language>en-US</dc:language>
  <cp:lastModifiedBy>Mayra Salek Pedraza</cp:lastModifiedBy>
  <cp:lastPrinted>2018-11-05T18:11:00Z</cp:lastPrinted>
  <dcterms:modified xsi:type="dcterms:W3CDTF">2018-11-05T18:22:00Z</dcterms:modified>
  <cp:revision>10</cp:revision>
  <dc:subject/>
  <dc:title>CLAUSULA DE EXTRATERRITORIALIDAD</dc:title>
</cp:coreProperties>
</file>