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ind w:right="44" w:hanging="0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CLÁUSULA PARA CUADROS Y PINTURAS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06 001-2802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WWTextoindependiente3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Mediante la presente cláusula se extiende a cubrir los daños en los cuadros y pinturas asegurados a consecuencia de los riesgos contratados en la presente póliza. Asimismo, queda convenido que la compañía no responderá por los daños en los cuadros y pinturas que puedan sufrir debido a causas tales como la aproximación de luces, trabajos de reparación o restauración, la acción de desecamiento o deterioro gradual.</w:t>
      </w:r>
    </w:p>
    <w:p>
      <w:pPr>
        <w:pStyle w:val="WWTextoindependiente3"/>
        <w:rPr>
          <w:rFonts w:ascii="Trebuchet MS;Trebuchet MS" w:hAnsi="Trebuchet MS;Trebuchet MS" w:cs="Arial;Arial"/>
          <w:color w:val="FF0000"/>
          <w:sz w:val="18"/>
          <w:szCs w:val="18"/>
        </w:rPr>
      </w:pPr>
      <w:r>
        <w:rPr>
          <w:rFonts w:cs="Arial;Arial" w:ascii="Trebuchet MS;Trebuchet MS" w:hAnsi="Trebuchet MS;Trebuchet MS"/>
          <w:color w:val="FF0000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;Arial"/>
          <w:color w:val="FF0000"/>
          <w:sz w:val="18"/>
          <w:szCs w:val="18"/>
        </w:rPr>
      </w:pPr>
      <w:r>
        <w:rPr>
          <w:rFonts w:cs="Arial;Arial" w:ascii="Trebuchet MS;Trebuchet MS" w:hAnsi="Trebuchet MS;Trebuchet MS"/>
          <w:color w:val="FF0000"/>
          <w:sz w:val="18"/>
          <w:szCs w:val="18"/>
        </w:rPr>
      </w:r>
    </w:p>
    <w:p>
      <w:pPr>
        <w:pStyle w:val="WWTextoindependiente3"/>
        <w:rPr>
          <w:rFonts w:ascii="Trebuchet MS;Trebuchet MS" w:hAnsi="Trebuchet MS;Trebuchet MS" w:cs="Arial;Arial"/>
          <w:strike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 xml:space="preserve">Queda así mismo entendido y convenido que, en caso de daños cubiertos bajo esta Póliza, la Compañía no estará obligada a indemnizar mayor cantidad que el valor real de los cuadros y pinturas hasta un máximo $US 5.000 por esta cobertura, a menos que los cuadros y pinturas se hubieran asegurado por sumas específicas las cuales deben estar declaradas en las condiciones particulares de la póliza. 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trike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trike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2010-09-23T08:52:00Z</dcterms:created>
  <dc:creator>Luis Enrique</dc:creator>
  <dc:description/>
  <cp:keywords/>
  <dc:language>en-US</dc:language>
  <cp:lastModifiedBy>Carmen R. Llusco Gomez</cp:lastModifiedBy>
  <cp:lastPrinted>2010-10-05T16:47:00Z</cp:lastPrinted>
  <dcterms:modified xsi:type="dcterms:W3CDTF">2015-06-24T18:02:00Z</dcterms:modified>
  <cp:revision>10</cp:revision>
  <dc:subject/>
  <dc:title>CLAUSULA DE EXTRATERRITORIALIDAD</dc:title>
</cp:coreProperties>
</file>