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Arial" w:hAnsi="Arial"/>
          <w:b/>
          <w:spacing w:val="-2"/>
          <w:lang w:val="es-ES_tradnl"/>
        </w:rPr>
        <w:t>RESOLUCIÓN ADMINISTRATIVA /SPVS/IS/No. 577 de fecha 18 de Julio de 2007</w:t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24"/>
          <w:szCs w:val="24"/>
          <w:lang w:val="es-ES_tradnl"/>
        </w:rPr>
      </w:pPr>
      <w:r>
        <w:rPr>
          <w:rFonts w:cs="Arial" w:ascii="Arial" w:hAnsi="Arial"/>
          <w:b/>
          <w:spacing w:val="-2"/>
          <w:sz w:val="24"/>
          <w:szCs w:val="24"/>
          <w:lang w:val="es-ES_tradnl"/>
        </w:rPr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CLÁUSULA PARA CUBRIR EL RIESGO DE COLAPSO DE EDIFICIO</w:t>
      </w:r>
    </w:p>
    <w:p>
      <w:pPr>
        <w:pStyle w:val="Normal"/>
        <w:ind w:left="640" w:firstLine="80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eastAsia="Arial" w:cs="Arial" w:ascii="Arial" w:hAnsi="Arial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Código Asignado 115-910101-2007 06 001-2805</w:t>
      </w:r>
    </w:p>
    <w:p>
      <w:pPr>
        <w:pStyle w:val="Normal"/>
        <w:ind w:left="640" w:firstLine="80"/>
        <w:rPr/>
      </w:pPr>
      <w:r>
        <w:rPr>
          <w:rFonts w:eastAsia="Arial" w:cs="Arial" w:ascii="Arial" w:hAnsi="Arial"/>
          <w:b/>
          <w:spacing w:val="-2"/>
          <w:sz w:val="18"/>
          <w:szCs w:val="18"/>
          <w:lang w:val="es-ES_tradnl"/>
        </w:rPr>
        <w:t xml:space="preserve">         </w:t>
      </w: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Arial" w:ascii="Trebuchet MS;Trebuchet MS" w:hAnsi="Trebuchet MS;Trebuchet MS"/>
          <w:spacing w:val="-2"/>
        </w:rPr>
        <w:t>Mediante la presente cláusula, se acuerda y conviene extender la cobertura de la Póliza mencionada en el rubro, a los daños directos causados en los bienes asegurados por Colapso de Edificio exista o no Incendio.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</w:rPr>
      </w:pPr>
      <w:r>
        <w:rPr>
          <w:rFonts w:cs="Arial" w:ascii="Trebuchet MS;Trebuchet MS" w:hAnsi="Trebuchet MS;Trebuchet MS"/>
          <w:spacing w:val="-2"/>
        </w:rPr>
      </w:r>
    </w:p>
    <w:p>
      <w:pPr>
        <w:pStyle w:val="Normal"/>
        <w:jc w:val="both"/>
        <w:rPr>
          <w:rFonts w:ascii="Trebuchet MS;Trebuchet MS" w:hAnsi="Trebuchet MS;Trebuchet MS" w:cs="Arial"/>
          <w:spacing w:val="-2"/>
        </w:rPr>
      </w:pPr>
      <w:r>
        <w:rPr>
          <w:rFonts w:cs="Arial" w:ascii="Trebuchet MS;Trebuchet MS" w:hAnsi="Trebuchet MS;Trebuchet MS"/>
          <w:spacing w:val="-2"/>
        </w:rPr>
        <w:t>A los efectos de esta Póliza, se entiende por colapso de edificio, el desplome de una parte o la totalidad del Edificio Asegurado, cuando el mismo quede afectado en su estructura, en forma fortuita y súbita debido a causas involuntarias o imprevistas y ajenas a trabajos que se realicen en el edificio.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</w:rPr>
      </w:pPr>
      <w:r>
        <w:rPr>
          <w:rFonts w:cs="Arial" w:ascii="Trebuchet MS;Trebuchet MS" w:hAnsi="Trebuchet MS;Trebuchet MS"/>
          <w:spacing w:val="-2"/>
        </w:rPr>
      </w:r>
    </w:p>
    <w:p>
      <w:pPr>
        <w:pStyle w:val="Normal"/>
        <w:jc w:val="both"/>
        <w:rPr>
          <w:rFonts w:ascii="Trebuchet MS;Trebuchet MS" w:hAnsi="Trebuchet MS;Trebuchet MS" w:cs="Arial"/>
          <w:spacing w:val="-2"/>
        </w:rPr>
      </w:pPr>
      <w:r>
        <w:rPr>
          <w:rFonts w:cs="Arial" w:ascii="Trebuchet MS;Trebuchet MS" w:hAnsi="Trebuchet MS;Trebuchet MS"/>
          <w:spacing w:val="-2"/>
        </w:rPr>
        <w:t>Asimismo, se deja establecido que la presente cláusula no cubre el colapso del edificio a consecuencia de errores de diseño, errores de cálculo o  fallas de construcción.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</w:rPr>
      </w:pPr>
      <w:r>
        <w:rPr>
          <w:rFonts w:cs="Arial" w:ascii="Trebuchet MS;Trebuchet MS" w:hAnsi="Trebuchet MS;Trebuchet MS"/>
          <w:spacing w:val="-2"/>
        </w:rPr>
      </w:r>
    </w:p>
    <w:p>
      <w:pPr>
        <w:pStyle w:val="Normal"/>
        <w:jc w:val="both"/>
        <w:rPr>
          <w:rFonts w:ascii="Trebuchet MS;Trebuchet MS" w:hAnsi="Trebuchet MS;Trebuchet MS" w:cs="Arial"/>
          <w:spacing w:val="-2"/>
        </w:rPr>
      </w:pPr>
      <w:r>
        <w:rPr>
          <w:rFonts w:cs="Arial" w:ascii="Trebuchet MS;Trebuchet MS" w:hAnsi="Trebuchet MS;Trebuchet MS"/>
          <w:spacing w:val="-2"/>
        </w:rPr>
        <w:t>Son aplicables para el caso de Colapso,  todas la Cláusulas de la Póliza Principal.</w:t>
      </w:r>
    </w:p>
    <w:p>
      <w:pPr>
        <w:pStyle w:val="Normal"/>
        <w:jc w:val="center"/>
        <w:rPr>
          <w:rFonts w:ascii="Arial" w:hAnsi="Arial" w:cs="Arial"/>
          <w:b/>
          <w:b/>
          <w:spacing w:val="-3"/>
          <w:sz w:val="28"/>
          <w:szCs w:val="28"/>
        </w:rPr>
      </w:pPr>
      <w:r>
        <w:rPr>
          <w:rFonts w:cs="Arial" w:ascii="Arial" w:hAnsi="Arial"/>
          <w:b/>
          <w:spacing w:val="-3"/>
          <w:sz w:val="28"/>
          <w:szCs w:val="2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3"/>
          <w:sz w:val="28"/>
          <w:szCs w:val="28"/>
        </w:rPr>
      </w:pPr>
      <w:r>
        <w:rPr>
          <w:rFonts w:cs="Trebuchet MS;Trebuchet MS" w:ascii="Trebuchet MS;Trebuchet MS" w:hAnsi="Trebuchet MS;Trebuchet MS"/>
          <w:b/>
          <w:spacing w:val="-3"/>
          <w:sz w:val="28"/>
          <w:szCs w:val="2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28"/>
          <w:szCs w:val="28"/>
        </w:rPr>
      </w:pPr>
      <w:r>
        <w:rPr>
          <w:rFonts w:cs="Trebuchet MS;Trebuchet MS" w:ascii="Trebuchet MS;Trebuchet MS" w:hAnsi="Trebuchet MS;Trebuchet M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NACIONAL SEGUROS  PATRIMONIALES Y FIANZAS S.A.”</w:t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22"/>
          <w:szCs w:val="22"/>
          <w:lang w:val="es-MX"/>
        </w:rPr>
      </w:pPr>
      <w:r>
        <w:rPr>
          <w:rFonts w:cs="Trebuchet MS;Trebuchet MS" w:ascii="Trebuchet MS;Trebuchet MS" w:hAnsi="Trebuchet MS;Trebuchet MS"/>
          <w:b/>
          <w:sz w:val="22"/>
          <w:szCs w:val="22"/>
          <w:lang w:val="es-MX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22"/>
          <w:szCs w:val="22"/>
        </w:rPr>
      </w:pPr>
      <w:r>
        <w:rPr>
          <w:rFonts w:cs="Trebuchet MS;Trebuchet MS" w:ascii="Trebuchet MS;Trebuchet MS" w:hAnsi="Trebuchet MS;Trebuchet MS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1680" w:leader="none"/>
        </w:tabs>
        <w:rPr>
          <w:rFonts w:ascii="Arial Black" w:hAnsi="Arial Black" w:cs="Arial Black"/>
          <w:b/>
          <w:b/>
          <w:sz w:val="56"/>
          <w:szCs w:val="56"/>
        </w:rPr>
      </w:pPr>
      <w:r>
        <w:rPr>
          <w:rFonts w:cs="Arial Black" w:ascii="Arial Black" w:hAnsi="Arial Black"/>
          <w:b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56"/>
          <w:szCs w:val="56"/>
        </w:rPr>
      </w:pPr>
      <w:r>
        <w:rPr>
          <w:rFonts w:cs="Arial Black" w:ascii="Arial Black" w:hAnsi="Arial Black"/>
          <w:b/>
          <w:sz w:val="56"/>
          <w:szCs w:val="56"/>
        </w:rPr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56"/>
          <w:szCs w:val="56"/>
        </w:rPr>
      </w:pPr>
      <w:r>
        <w:rPr>
          <w:rFonts w:cs="Arial" w:ascii="Trebuchet MS;Trebuchet MS" w:hAnsi="Trebuchet MS;Trebuchet MS"/>
          <w:b/>
          <w:spacing w:val="-2"/>
          <w:sz w:val="56"/>
          <w:szCs w:val="56"/>
        </w:rPr>
      </w:r>
    </w:p>
    <w:p>
      <w:pPr>
        <w:pStyle w:val="Normal"/>
        <w:jc w:val="both"/>
        <w:rPr>
          <w:rFonts w:ascii="Trebuchet MS;Trebuchet MS" w:hAnsi="Trebuchet MS;Trebuchet MS" w:cs="Arial"/>
          <w:spacing w:val="-2"/>
        </w:rPr>
      </w:pPr>
      <w:r>
        <w:rPr>
          <w:rFonts w:cs="Arial" w:ascii="Trebuchet MS;Trebuchet MS" w:hAnsi="Trebuchet MS;Trebuchet MS"/>
          <w:spacing w:val="-2"/>
        </w:rPr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2010-09-23T08:14:00Z</dcterms:created>
  <dc:creator>Luis Enrique</dc:creator>
  <dc:description/>
  <cp:keywords/>
  <dc:language>en-US</dc:language>
  <cp:lastModifiedBy>Franz Brian Muñoz Nery</cp:lastModifiedBy>
  <cp:lastPrinted>2015-07-09T16:19:00Z</cp:lastPrinted>
  <dcterms:modified xsi:type="dcterms:W3CDTF">2015-07-09T16:19:00Z</dcterms:modified>
  <cp:revision>17</cp:revision>
  <dc:subject/>
  <dc:title>CLAUSULA DE EXTRATERRITORIALIDAD</dc:title>
</cp:coreProperties>
</file>