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center" w:pos="4680" w:leader="none"/>
        </w:tabs>
        <w:suppressAutoHyphens w:val="true"/>
        <w:jc w:val="center"/>
        <w:outlineLvl w:val="3"/>
        <w:rPr>
          <w:rFonts w:ascii="Arial" w:hAnsi="Arial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Arial" w:hAnsi="Arial"/>
          <w:b/>
          <w:spacing w:val="-2"/>
          <w:sz w:val="18"/>
          <w:szCs w:val="18"/>
          <w:lang w:val="es-ES_tradnl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center" w:pos="4680" w:leader="none"/>
        </w:tabs>
        <w:suppressAutoHyphens w:val="true"/>
        <w:jc w:val="center"/>
        <w:outlineLvl w:val="3"/>
        <w:rPr>
          <w:rFonts w:ascii="Arial" w:hAnsi="Arial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Arial" w:hAnsi="Arial"/>
          <w:b/>
          <w:spacing w:val="-2"/>
          <w:sz w:val="18"/>
          <w:szCs w:val="18"/>
          <w:lang w:val="es-ES_tradnl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center" w:pos="4680" w:leader="none"/>
        </w:tabs>
        <w:suppressAutoHyphens w:val="true"/>
        <w:jc w:val="center"/>
        <w:outlineLvl w:val="3"/>
        <w:rPr>
          <w:rFonts w:ascii="Arial" w:hAnsi="Arial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Arial" w:hAnsi="Arial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Arial" w:hAnsi="Arial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Arial" w:hAnsi="Arial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Arial" w:hAnsi="Arial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Arial" w:hAnsi="Arial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Arial" w:hAnsi="Arial"/>
          <w:b/>
          <w:spacing w:val="-2"/>
          <w:lang w:val="es-ES_tradnl"/>
        </w:rPr>
        <w:t>RESOLUCIÓN ADMINISTRATIVA /SPVS/IS/No. 577 de fecha 18 de Julio de 2007</w:t>
      </w:r>
    </w:p>
    <w:p>
      <w:pPr>
        <w:pStyle w:val="Normal"/>
        <w:jc w:val="both"/>
        <w:rPr>
          <w:rFonts w:ascii="Trebuchet MS" w:hAnsi="Trebuchet MS" w:cs="Arial"/>
          <w:b/>
          <w:b/>
          <w:spacing w:val="-2"/>
          <w:lang w:val="es-ES_tradnl"/>
        </w:rPr>
      </w:pPr>
      <w:r>
        <w:rPr>
          <w:rFonts w:cs="Arial" w:ascii="Trebuchet MS" w:hAnsi="Trebuchet MS"/>
          <w:b/>
          <w:spacing w:val="-2"/>
          <w:lang w:val="es-ES_tradnl"/>
        </w:rPr>
      </w:r>
    </w:p>
    <w:p>
      <w:pPr>
        <w:pStyle w:val="Normal"/>
        <w:jc w:val="center"/>
        <w:rPr>
          <w:rFonts w:ascii="Arial" w:hAnsi="Arial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Arial" w:hAnsi="Arial"/>
          <w:b/>
          <w:spacing w:val="-2"/>
          <w:sz w:val="18"/>
          <w:szCs w:val="18"/>
          <w:lang w:val="es-ES_tradnl"/>
        </w:rPr>
      </w:r>
    </w:p>
    <w:p>
      <w:pPr>
        <w:pStyle w:val="Normal"/>
        <w:jc w:val="center"/>
        <w:rPr>
          <w:rFonts w:ascii="Arial" w:hAnsi="Arial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Arial" w:hAnsi="Arial"/>
          <w:b/>
          <w:spacing w:val="-2"/>
          <w:sz w:val="18"/>
          <w:szCs w:val="18"/>
          <w:lang w:val="es-ES_tradnl"/>
        </w:rPr>
        <w:t>CLÁUSULA PARA CUBRIR EL RIESGO DE COLAPSO DE PAREDES</w:t>
      </w:r>
    </w:p>
    <w:p>
      <w:pPr>
        <w:pStyle w:val="Normal"/>
        <w:ind w:left="640" w:firstLine="80"/>
        <w:rPr>
          <w:rFonts w:ascii="Arial" w:hAnsi="Arial" w:cs="Arial"/>
          <w:b/>
          <w:b/>
          <w:spacing w:val="-2"/>
          <w:sz w:val="18"/>
          <w:szCs w:val="18"/>
          <w:lang w:val="es-ES_tradnl"/>
        </w:rPr>
      </w:pPr>
      <w:r>
        <w:rPr>
          <w:rFonts w:eastAsia="Arial" w:cs="Arial" w:ascii="Arial" w:hAnsi="Arial"/>
          <w:b/>
          <w:spacing w:val="-2"/>
          <w:sz w:val="18"/>
          <w:szCs w:val="18"/>
          <w:lang w:val="es-ES_tradnl"/>
        </w:rPr>
        <w:t xml:space="preserve">                                   </w:t>
      </w:r>
      <w:r>
        <w:rPr>
          <w:rFonts w:cs="Arial" w:ascii="Arial" w:hAnsi="Arial"/>
          <w:b/>
          <w:spacing w:val="-2"/>
          <w:sz w:val="18"/>
          <w:szCs w:val="18"/>
          <w:lang w:val="es-ES_tradnl"/>
        </w:rPr>
        <w:t>Código Asignado 115-910101-2007 06 001-2804</w:t>
      </w:r>
    </w:p>
    <w:p>
      <w:pPr>
        <w:pStyle w:val="Normal"/>
        <w:ind w:left="640" w:firstLine="80"/>
        <w:rPr/>
      </w:pPr>
      <w:r>
        <w:rPr>
          <w:rFonts w:eastAsia="Arial" w:cs="Arial" w:ascii="Arial" w:hAnsi="Arial"/>
          <w:b/>
          <w:spacing w:val="-2"/>
          <w:sz w:val="18"/>
          <w:szCs w:val="18"/>
          <w:lang w:val="es-ES_tradnl"/>
        </w:rPr>
        <w:t xml:space="preserve">       </w:t>
      </w:r>
      <w:r>
        <w:rPr>
          <w:rFonts w:cs="Arial" w:ascii="Arial" w:hAnsi="Arial"/>
          <w:b/>
          <w:spacing w:val="-2"/>
          <w:sz w:val="18"/>
          <w:szCs w:val="18"/>
          <w:lang w:val="es-ES_tradnl"/>
        </w:rPr>
        <w:t>RESOLUCIÓN ADMINISTRATIVA /APS/DS/No. 199-2011  de fecha 02 de agosto de 2011</w:t>
      </w:r>
    </w:p>
    <w:p>
      <w:pPr>
        <w:pStyle w:val="Normal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/>
      </w:pPr>
      <w:r>
        <w:rPr>
          <w:rFonts w:cs="Arial" w:ascii="Trebuchet MS" w:hAnsi="Trebuchet MS"/>
          <w:spacing w:val="-2"/>
        </w:rPr>
        <w:t>Mediante la presente cláusula, se acuerda y conviene extender la cobertura de la póliza mencionada en el rubro, a los daños directos causados en los bienes asegurados por Colapso de Paredes  exista o no Incendio.</w:t>
      </w:r>
    </w:p>
    <w:p>
      <w:pPr>
        <w:pStyle w:val="Normal"/>
        <w:jc w:val="both"/>
        <w:rPr>
          <w:rFonts w:ascii="Trebuchet MS" w:hAnsi="Trebuchet MS" w:cs="Arial"/>
          <w:spacing w:val="-2"/>
        </w:rPr>
      </w:pPr>
      <w:r>
        <w:rPr>
          <w:rFonts w:cs="Arial" w:ascii="Trebuchet MS" w:hAnsi="Trebuchet MS"/>
          <w:spacing w:val="-2"/>
        </w:rPr>
      </w:r>
    </w:p>
    <w:p>
      <w:pPr>
        <w:pStyle w:val="Normal"/>
        <w:jc w:val="both"/>
        <w:rPr/>
      </w:pPr>
      <w:r>
        <w:rPr>
          <w:rFonts w:cs="Arial" w:ascii="Trebuchet MS" w:hAnsi="Trebuchet MS"/>
          <w:spacing w:val="-2"/>
        </w:rPr>
        <w:t>A los efectos de esta Póliza, se entiende por colapso de paredes, el desplome de una parte o la totalidad de las paredes del predio asegurado, cuando las mismas queden afectadas en su estructura, en forma fortuita y súbita debido a causas involuntarias o imprevistas y ajenas a trabajos que se realicen en las paredes.</w:t>
      </w:r>
    </w:p>
    <w:p>
      <w:pPr>
        <w:pStyle w:val="Normal"/>
        <w:jc w:val="both"/>
        <w:rPr>
          <w:rFonts w:ascii="Trebuchet MS" w:hAnsi="Trebuchet MS" w:cs="Arial"/>
          <w:spacing w:val="-2"/>
        </w:rPr>
      </w:pPr>
      <w:r>
        <w:rPr>
          <w:rFonts w:cs="Arial" w:ascii="Trebuchet MS" w:hAnsi="Trebuchet MS"/>
          <w:spacing w:val="-2"/>
        </w:rPr>
      </w:r>
    </w:p>
    <w:p>
      <w:pPr>
        <w:pStyle w:val="Normal"/>
        <w:jc w:val="both"/>
        <w:rPr>
          <w:rFonts w:ascii="Trebuchet MS" w:hAnsi="Trebuchet MS" w:cs="Arial"/>
          <w:spacing w:val="-2"/>
        </w:rPr>
      </w:pPr>
      <w:r>
        <w:rPr>
          <w:rFonts w:cs="Arial" w:ascii="Trebuchet MS" w:hAnsi="Trebuchet MS"/>
          <w:spacing w:val="-2"/>
        </w:rPr>
        <w:t>Asimismo, se deja establecido que la presente cláusula no cubre el colapso de paredes a consecuencia de errores de diseño, errores de cálculo o  fallas de construcción.</w:t>
      </w:r>
    </w:p>
    <w:p>
      <w:pPr>
        <w:pStyle w:val="Normal"/>
        <w:jc w:val="both"/>
        <w:rPr>
          <w:rFonts w:ascii="Trebuchet MS" w:hAnsi="Trebuchet MS" w:cs="Arial"/>
          <w:spacing w:val="-2"/>
        </w:rPr>
      </w:pPr>
      <w:r>
        <w:rPr>
          <w:rFonts w:cs="Arial" w:ascii="Trebuchet MS" w:hAnsi="Trebuchet MS"/>
          <w:spacing w:val="-2"/>
        </w:rPr>
      </w:r>
    </w:p>
    <w:p>
      <w:pPr>
        <w:pStyle w:val="Normal"/>
        <w:jc w:val="both"/>
        <w:rPr>
          <w:rFonts w:ascii="Trebuchet MS" w:hAnsi="Trebuchet MS" w:cs="Arial"/>
          <w:spacing w:val="-2"/>
        </w:rPr>
      </w:pPr>
      <w:r>
        <w:rPr>
          <w:rFonts w:cs="Arial" w:ascii="Trebuchet MS" w:hAnsi="Trebuchet MS"/>
          <w:spacing w:val="-2"/>
        </w:rPr>
        <w:t>Son aplicables para el caso de Colapso,  todas la Cláusulas de la Póliza Principal.</w:t>
      </w:r>
    </w:p>
    <w:p>
      <w:pPr>
        <w:pStyle w:val="Normal"/>
        <w:jc w:val="both"/>
        <w:rPr>
          <w:rFonts w:ascii="Trebuchet MS" w:hAnsi="Trebuchet MS" w:cs="Trebuchet MS"/>
          <w:b/>
          <w:b/>
          <w:spacing w:val="-3"/>
        </w:rPr>
      </w:pPr>
      <w:r>
        <w:rPr>
          <w:rFonts w:cs="Trebuchet MS" w:ascii="Trebuchet MS" w:hAnsi="Trebuchet MS"/>
          <w:b/>
          <w:spacing w:val="-3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pacing w:val="-3"/>
          <w:sz w:val="28"/>
          <w:szCs w:val="28"/>
        </w:rPr>
      </w:pPr>
      <w:r>
        <w:rPr>
          <w:rFonts w:cs="Trebuchet MS" w:ascii="Trebuchet MS" w:hAnsi="Trebuchet MS"/>
          <w:b/>
          <w:spacing w:val="-3"/>
          <w:sz w:val="28"/>
          <w:szCs w:val="28"/>
        </w:rPr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rFonts w:ascii="Trebuchet MS" w:hAnsi="Trebuchet MS" w:cs="Trebuchet MS"/>
          <w:b/>
          <w:b/>
          <w:sz w:val="18"/>
          <w:szCs w:val="18"/>
          <w:lang w:val="es-MX"/>
        </w:rPr>
      </w:pPr>
      <w:r>
        <w:rPr>
          <w:rFonts w:cs="Trebuchet MS" w:ascii="Trebuchet MS" w:hAnsi="Trebuchet MS"/>
          <w:b/>
          <w:sz w:val="18"/>
          <w:szCs w:val="18"/>
          <w:lang w:val="es-MX"/>
        </w:rPr>
        <w:t>“</w:t>
      </w:r>
      <w:r>
        <w:rPr>
          <w:rFonts w:cs="Trebuchet MS" w:ascii="Trebuchet MS" w:hAnsi="Trebuchet MS"/>
          <w:b/>
          <w:sz w:val="18"/>
          <w:szCs w:val="18"/>
          <w:lang w:val="es-MX"/>
        </w:rPr>
        <w:t>NACIONAL SEGUROS  PATRIMONIALES  Y FIANZAS S.A.”</w:t>
      </w:r>
    </w:p>
    <w:p>
      <w:pPr>
        <w:pStyle w:val="Normal"/>
        <w:jc w:val="center"/>
        <w:rPr>
          <w:rFonts w:ascii="Arial" w:hAnsi="Arial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Arial" w:hAnsi="Arial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rFonts w:ascii="Trebuchet MS" w:hAnsi="Trebuchet MS" w:cs="Trebuchet MS"/>
          <w:b/>
          <w:b/>
          <w:spacing w:val="-2"/>
          <w:sz w:val="18"/>
          <w:szCs w:val="18"/>
          <w:lang w:val="es-MX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MX"/>
        </w:rPr>
      </w:r>
    </w:p>
    <w:p>
      <w:pPr>
        <w:pStyle w:val="Normal"/>
        <w:rPr>
          <w:rFonts w:ascii="Arial Black" w:hAnsi="Arial Black" w:cs="Arial Black"/>
          <w:b/>
          <w:b/>
          <w:sz w:val="56"/>
          <w:szCs w:val="56"/>
          <w:lang w:val="es-MX"/>
        </w:rPr>
      </w:pPr>
      <w:r>
        <w:rPr>
          <w:rFonts w:cs="Arial Black" w:ascii="Arial Black" w:hAnsi="Arial Black"/>
          <w:b/>
          <w:sz w:val="56"/>
          <w:szCs w:val="56"/>
          <w:lang w:val="es-MX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56"/>
          <w:szCs w:val="56"/>
        </w:rPr>
      </w:pPr>
      <w:r>
        <w:rPr>
          <w:rFonts w:cs="Arial Black" w:ascii="Arial Black" w:hAnsi="Arial Black"/>
          <w:b/>
          <w:sz w:val="56"/>
          <w:szCs w:val="56"/>
        </w:rPr>
      </w:r>
    </w:p>
    <w:p>
      <w:pPr>
        <w:pStyle w:val="Normal"/>
        <w:jc w:val="center"/>
        <w:rPr>
          <w:rFonts w:ascii="Arial" w:hAnsi="Arial" w:cs="Arial"/>
          <w:b/>
          <w:b/>
          <w:spacing w:val="-2"/>
          <w:sz w:val="24"/>
          <w:szCs w:val="24"/>
        </w:rPr>
      </w:pPr>
      <w:r>
        <w:rPr>
          <w:rFonts w:cs="Arial" w:ascii="Arial" w:hAnsi="Arial"/>
          <w:b/>
          <w:spacing w:val="-2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pacing w:val="-2"/>
          <w:sz w:val="24"/>
          <w:szCs w:val="24"/>
        </w:rPr>
      </w:pPr>
      <w:r>
        <w:rPr>
          <w:rFonts w:cs="Arial" w:ascii="Arial" w:hAnsi="Arial"/>
          <w:spacing w:val="-2"/>
          <w:sz w:val="24"/>
          <w:szCs w:val="24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  <w:font w:name="Arial Black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" w:hAnsi="Arial" w:cs="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" w:hAnsi="Arial" w:eastAsia="Times New Roman" w:cs="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2010-09-23T08:19:00Z</dcterms:created>
  <dc:creator>Luis Enrique</dc:creator>
  <dc:description/>
  <cp:keywords/>
  <dc:language>en-US</dc:language>
  <cp:lastModifiedBy>Jaime Alejandro Beltran</cp:lastModifiedBy>
  <cp:lastPrinted>2011-08-08T12:00:00Z</cp:lastPrinted>
  <dcterms:modified xsi:type="dcterms:W3CDTF">2015-06-24T09:47:00Z</dcterms:modified>
  <cp:revision>16</cp:revision>
  <dc:subject/>
  <dc:title>CLAUSULA DE EXTRATERRITORIALIDAD</dc:title>
</cp:coreProperties>
</file>