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tabs>
          <w:tab w:val="clear" w:pos="708"/>
          <w:tab w:val="right" w:pos="9360" w:leader="none"/>
        </w:tabs>
        <w:suppressAutoHyphens w:val="true"/>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tabs>
          <w:tab w:val="clear" w:pos="708"/>
          <w:tab w:val="right" w:pos="9360" w:leader="none"/>
        </w:tabs>
        <w:suppressAutoHyphens w:val="true"/>
        <w:jc w:val="center"/>
        <w:rPr>
          <w:rFonts w:ascii="Trebuchet MS;Trebuchet MS" w:hAnsi="Trebuchet MS;Trebuchet MS" w:cs="Arial;Arial"/>
          <w:b/>
          <w:b/>
          <w:sz w:val="18"/>
          <w:szCs w:val="18"/>
        </w:rPr>
      </w:pPr>
      <w:r>
        <w:rPr>
          <w:rFonts w:cs="Arial;Arial" w:ascii="Trebuchet MS;Trebuchet MS" w:hAnsi="Trebuchet MS;Trebuchet MS"/>
          <w:b/>
          <w:sz w:val="18"/>
          <w:szCs w:val="18"/>
        </w:rPr>
        <w:t>PÓLIZA DE SEGURO DE TODO RIESGO DE DAÑOS A LA PROPIEDAD</w:t>
      </w:r>
    </w:p>
    <w:p>
      <w:pPr>
        <w:pStyle w:val="Normal"/>
        <w:ind w:left="640" w:firstLine="80"/>
        <w:jc w:val="center"/>
        <w:rPr>
          <w:rFonts w:ascii="Trebuchet MS;Trebuchet MS" w:hAnsi="Trebuchet MS;Trebuchet MS" w:cs="Arial;Arial"/>
          <w:b/>
          <w:b/>
          <w:spacing w:val="-2"/>
          <w:sz w:val="18"/>
          <w:szCs w:val="18"/>
        </w:rPr>
      </w:pPr>
      <w:r>
        <w:rPr>
          <w:rFonts w:cs="Arial;Arial" w:ascii="Trebuchet MS;Trebuchet MS" w:hAnsi="Trebuchet MS;Trebuchet MS"/>
          <w:b/>
          <w:spacing w:val="-2"/>
          <w:sz w:val="18"/>
          <w:szCs w:val="18"/>
        </w:rPr>
        <w:t>Código Asignado 115-910101-2007 06 001</w:t>
      </w:r>
    </w:p>
    <w:p>
      <w:pPr>
        <w:pStyle w:val="Normal"/>
        <w:ind w:left="640" w:firstLine="80"/>
        <w:jc w:val="center"/>
        <w:rPr>
          <w:rFonts w:ascii="Trebuchet MS;Trebuchet MS" w:hAnsi="Trebuchet MS;Trebuchet MS" w:cs="Arial;Arial"/>
          <w:b/>
          <w:b/>
          <w:spacing w:val="-2"/>
          <w:sz w:val="18"/>
          <w:szCs w:val="18"/>
        </w:rPr>
      </w:pPr>
      <w:r>
        <w:rPr>
          <w:rFonts w:cs="Arial;Arial" w:ascii="Trebuchet MS;Trebuchet MS" w:hAnsi="Trebuchet MS;Trebuchet MS"/>
          <w:b/>
          <w:spacing w:val="-2"/>
          <w:sz w:val="18"/>
          <w:szCs w:val="18"/>
        </w:rPr>
        <w:t>RESOLUCIÓN ADMINISTRATIVA /SPVS/IS/No. 415 de fecha 13 de Junio de 2007</w:t>
      </w:r>
    </w:p>
    <w:p>
      <w:pPr>
        <w:pStyle w:val="Normal"/>
        <w:rPr>
          <w:rFonts w:ascii="Trebuchet MS;Trebuchet MS" w:hAnsi="Trebuchet MS;Trebuchet MS" w:cs="Trebuchet MS;Trebuchet MS"/>
          <w:b/>
          <w:b/>
          <w:spacing w:val="-2"/>
          <w:sz w:val="18"/>
          <w:szCs w:val="18"/>
        </w:rPr>
      </w:pPr>
      <w:r>
        <w:rPr>
          <w:rFonts w:cs="Trebuchet MS;Trebuchet MS" w:ascii="Trebuchet MS;Trebuchet MS" w:hAnsi="Trebuchet MS;Trebuchet MS"/>
          <w:b/>
          <w:spacing w:val="-2"/>
          <w:sz w:val="18"/>
          <w:szCs w:val="18"/>
        </w:rPr>
      </w:r>
    </w:p>
    <w:p>
      <w:pPr>
        <w:pStyle w:val="Normal"/>
        <w:rPr>
          <w:rFonts w:ascii="Trebuchet MS;Trebuchet MS" w:hAnsi="Trebuchet MS;Trebuchet MS" w:cs="Arial;Arial"/>
          <w:b/>
          <w:b/>
          <w:bCs/>
          <w:sz w:val="18"/>
          <w:szCs w:val="18"/>
        </w:rPr>
      </w:pPr>
      <w:r>
        <w:rPr>
          <w:rFonts w:cs="Arial;Arial" w:ascii="Trebuchet MS;Trebuchet MS" w:hAnsi="Trebuchet MS;Trebuchet MS"/>
          <w:b/>
          <w:bCs/>
          <w:sz w:val="18"/>
          <w:szCs w:val="18"/>
        </w:rPr>
      </w:r>
    </w:p>
    <w:p>
      <w:pPr>
        <w:pStyle w:val="Normal"/>
        <w:jc w:val="center"/>
        <w:rPr/>
      </w:pPr>
      <w:r>
        <w:rPr>
          <w:rFonts w:cs="Arial;Arial" w:ascii="Trebuchet MS;Trebuchet MS" w:hAnsi="Trebuchet MS;Trebuchet MS"/>
          <w:b/>
          <w:bCs/>
          <w:sz w:val="18"/>
          <w:szCs w:val="18"/>
        </w:rPr>
        <w:t>CLÁUSULA PARA OBRAS DE ARTE</w:t>
      </w:r>
    </w:p>
    <w:p>
      <w:pPr>
        <w:pStyle w:val="Normal"/>
        <w:ind w:left="640" w:firstLine="80"/>
        <w:rPr>
          <w:rFonts w:ascii="Trebuchet MS;Trebuchet MS" w:hAnsi="Trebuchet MS;Trebuchet MS"/>
          <w:b/>
          <w:b/>
          <w:spacing w:val="-2"/>
          <w:sz w:val="18"/>
          <w:szCs w:val="18"/>
        </w:rPr>
      </w:pPr>
      <w:r>
        <w:rPr>
          <w:rFonts w:eastAsia="Trebuchet MS;Trebuchet MS" w:cs="Trebuchet MS;Trebuchet MS" w:ascii="Trebuchet MS;Trebuchet MS" w:hAnsi="Trebuchet MS;Trebuchet MS"/>
          <w:b/>
          <w:spacing w:val="-2"/>
          <w:sz w:val="18"/>
          <w:szCs w:val="18"/>
        </w:rPr>
        <w:t xml:space="preserve">                           </w:t>
      </w:r>
      <w:r>
        <w:rPr>
          <w:rFonts w:cs="Arial;Arial" w:ascii="Trebuchet MS;Trebuchet MS" w:hAnsi="Trebuchet MS;Trebuchet MS"/>
          <w:b/>
          <w:spacing w:val="-2"/>
          <w:sz w:val="18"/>
          <w:szCs w:val="18"/>
        </w:rPr>
        <w:t>Código Asignado 115-910101-2007 06 001-2791</w:t>
      </w:r>
    </w:p>
    <w:p>
      <w:pPr>
        <w:pStyle w:val="Normal"/>
        <w:tabs>
          <w:tab w:val="clear" w:pos="708"/>
          <w:tab w:val="left" w:pos="-720" w:leader="none"/>
        </w:tabs>
        <w:suppressAutoHyphens w:val="true"/>
        <w:jc w:val="center"/>
        <w:rPr>
          <w:rFonts w:ascii="Trebuchet MS;Trebuchet MS" w:hAnsi="Trebuchet MS;Trebuchet MS" w:cs="Trebuchet MS;Trebuchet MS"/>
          <w:b/>
          <w:b/>
          <w:spacing w:val="-2"/>
          <w:sz w:val="18"/>
          <w:szCs w:val="18"/>
        </w:rPr>
      </w:pPr>
      <w:r>
        <w:rPr>
          <w:rFonts w:cs="Trebuchet MS;Trebuchet MS" w:ascii="Trebuchet MS;Trebuchet MS" w:hAnsi="Trebuchet MS;Trebuchet MS"/>
          <w:b/>
          <w:spacing w:val="-2"/>
          <w:sz w:val="18"/>
          <w:szCs w:val="18"/>
        </w:rPr>
        <w:t>RESOLUCIÓN ASFI Nº 930/2010 de fecha 05 de Noviembre de 2010</w:t>
      </w:r>
    </w:p>
    <w:p>
      <w:pPr>
        <w:pStyle w:val="Normal"/>
        <w:tabs>
          <w:tab w:val="clear" w:pos="708"/>
          <w:tab w:val="left" w:pos="2850" w:leader="none"/>
        </w:tabs>
        <w:rPr>
          <w:rFonts w:ascii="Trebuchet MS;Trebuchet MS" w:hAnsi="Trebuchet MS;Trebuchet MS" w:cs="Trebuchet MS;Trebuchet MS"/>
          <w:b/>
          <w:b/>
          <w:bCs/>
          <w:spacing w:val="-2"/>
          <w:sz w:val="18"/>
          <w:szCs w:val="18"/>
        </w:rPr>
      </w:pPr>
      <w:r>
        <w:rPr>
          <w:rFonts w:cs="Trebuchet MS;Trebuchet MS" w:ascii="Trebuchet MS;Trebuchet MS" w:hAnsi="Trebuchet MS;Trebuchet MS"/>
          <w:b/>
          <w:bCs/>
          <w:spacing w:val="-2"/>
          <w:sz w:val="18"/>
          <w:szCs w:val="18"/>
        </w:rPr>
      </w:r>
    </w:p>
    <w:p>
      <w:pPr>
        <w:pStyle w:val="Normal"/>
        <w:rPr>
          <w:rFonts w:ascii="Trebuchet MS;Trebuchet MS" w:hAnsi="Trebuchet MS;Trebuchet MS" w:cs="Trebuchet MS;Trebuchet MS"/>
          <w:b/>
          <w:b/>
          <w:bCs/>
          <w:sz w:val="18"/>
          <w:szCs w:val="18"/>
        </w:rPr>
      </w:pPr>
      <w:r>
        <w:rPr>
          <w:rFonts w:cs="Trebuchet MS;Trebuchet MS" w:ascii="Trebuchet MS;Trebuchet MS" w:hAnsi="Trebuchet MS;Trebuchet MS"/>
          <w:b/>
          <w:bCs/>
          <w:sz w:val="18"/>
          <w:szCs w:val="18"/>
        </w:rPr>
      </w:r>
    </w:p>
    <w:p>
      <w:pPr>
        <w:pStyle w:val="Normal"/>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TextBody"/>
        <w:tabs>
          <w:tab w:val="clear" w:pos="1440"/>
          <w:tab w:val="clear" w:pos="1728"/>
          <w:tab w:val="clear" w:pos="2880"/>
        </w:tabs>
        <w:rPr>
          <w:rFonts w:ascii="Trebuchet MS;Trebuchet MS" w:hAnsi="Trebuchet MS;Trebuchet MS" w:cs="Arial;Arial"/>
          <w:sz w:val="18"/>
          <w:szCs w:val="18"/>
        </w:rPr>
      </w:pPr>
      <w:r>
        <w:rPr>
          <w:rFonts w:cs="Arial;Arial" w:ascii="Trebuchet MS;Trebuchet MS" w:hAnsi="Trebuchet MS;Trebuchet MS"/>
          <w:sz w:val="18"/>
          <w:szCs w:val="18"/>
        </w:rPr>
        <w:t>Esta Póliza cubre la pérdida material o daño físico a Obras de Arte mientras se encuentren en cualquier parte dentro del territorio estipulado en la presente Póliza.</w:t>
      </w:r>
    </w:p>
    <w:p>
      <w:pPr>
        <w:pStyle w:val="Normal"/>
        <w:rPr>
          <w:rFonts w:ascii="Trebuchet MS;Trebuchet MS" w:hAnsi="Trebuchet MS;Trebuchet MS" w:cs="Arial;Arial"/>
          <w:b/>
          <w:b/>
          <w:bCs/>
          <w:sz w:val="18"/>
          <w:szCs w:val="18"/>
        </w:rPr>
      </w:pPr>
      <w:r>
        <w:rPr>
          <w:rFonts w:cs="Arial;Arial" w:ascii="Trebuchet MS;Trebuchet MS" w:hAnsi="Trebuchet MS;Trebuchet MS"/>
          <w:b/>
          <w:bCs/>
          <w:sz w:val="18"/>
          <w:szCs w:val="18"/>
        </w:rPr>
      </w:r>
    </w:p>
    <w:p>
      <w:pPr>
        <w:pStyle w:val="Normal"/>
        <w:rPr/>
      </w:pPr>
      <w:r>
        <w:rPr>
          <w:rFonts w:cs="Arial;Arial" w:ascii="Trebuchet MS;Trebuchet MS" w:hAnsi="Trebuchet MS;Trebuchet MS"/>
          <w:b/>
          <w:bCs/>
          <w:sz w:val="18"/>
          <w:szCs w:val="18"/>
        </w:rPr>
        <w:t>Esta Póliza no cubre:</w:t>
      </w:r>
    </w:p>
    <w:p>
      <w:pPr>
        <w:pStyle w:val="Normal"/>
        <w:rPr>
          <w:rFonts w:ascii="Trebuchet MS;Trebuchet MS" w:hAnsi="Trebuchet MS;Trebuchet MS" w:cs="Arial;Arial"/>
          <w:b/>
          <w:b/>
          <w:bCs/>
          <w:sz w:val="18"/>
          <w:szCs w:val="18"/>
        </w:rPr>
      </w:pPr>
      <w:r>
        <w:rPr>
          <w:rFonts w:cs="Arial;Arial" w:ascii="Trebuchet MS;Trebuchet MS" w:hAnsi="Trebuchet MS;Trebuchet MS"/>
          <w:b/>
          <w:bCs/>
          <w:sz w:val="18"/>
          <w:szCs w:val="18"/>
        </w:rPr>
      </w:r>
    </w:p>
    <w:p>
      <w:pPr>
        <w:pStyle w:val="Normal"/>
        <w:numPr>
          <w:ilvl w:val="0"/>
          <w:numId w:val="2"/>
        </w:numPr>
        <w:jc w:val="both"/>
        <w:rPr>
          <w:rFonts w:ascii="Trebuchet MS;Trebuchet MS" w:hAnsi="Trebuchet MS;Trebuchet MS" w:cs="Trebuchet MS;Trebuchet MS"/>
          <w:sz w:val="18"/>
          <w:szCs w:val="18"/>
        </w:rPr>
      </w:pPr>
      <w:r>
        <w:rPr>
          <w:rFonts w:cs="Trebuchet MS;Trebuchet MS" w:ascii="Trebuchet MS;Trebuchet MS" w:hAnsi="Trebuchet MS;Trebuchet MS"/>
          <w:sz w:val="18"/>
          <w:szCs w:val="18"/>
        </w:rPr>
        <w:t>Deterioro, uso y desgaste o vicio inherente,</w:t>
      </w:r>
    </w:p>
    <w:p>
      <w:pPr>
        <w:pStyle w:val="Normal"/>
        <w:tabs>
          <w:tab w:val="clear" w:pos="708"/>
          <w:tab w:val="left" w:pos="1440" w:leader="none"/>
          <w:tab w:val="left" w:pos="1728" w:leader="none"/>
          <w:tab w:val="left" w:pos="2880" w:leader="none"/>
        </w:tabs>
        <w:jc w:val="both"/>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numPr>
          <w:ilvl w:val="0"/>
          <w:numId w:val="2"/>
        </w:numPr>
        <w:jc w:val="both"/>
        <w:rPr>
          <w:rFonts w:ascii="Trebuchet MS;Trebuchet MS" w:hAnsi="Trebuchet MS;Trebuchet MS" w:cs="Trebuchet MS;Trebuchet MS"/>
          <w:sz w:val="18"/>
          <w:szCs w:val="18"/>
        </w:rPr>
      </w:pPr>
      <w:r>
        <w:rPr>
          <w:rFonts w:cs="Trebuchet MS;Trebuchet MS" w:ascii="Trebuchet MS;Trebuchet MS" w:hAnsi="Trebuchet MS;Trebuchet MS"/>
          <w:sz w:val="18"/>
          <w:szCs w:val="18"/>
        </w:rPr>
        <w:t>Pérdida o daño de cualquier proceso de reparación, restauración o retoque.</w:t>
      </w:r>
    </w:p>
    <w:p>
      <w:pPr>
        <w:pStyle w:val="Normal"/>
        <w:tabs>
          <w:tab w:val="clear" w:pos="708"/>
          <w:tab w:val="left" w:pos="1440" w:leader="none"/>
          <w:tab w:val="left" w:pos="1728" w:leader="none"/>
          <w:tab w:val="left" w:pos="2880" w:leader="none"/>
        </w:tabs>
        <w:jc w:val="both"/>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tabs>
          <w:tab w:val="clear" w:pos="708"/>
          <w:tab w:val="left" w:pos="1440" w:leader="none"/>
          <w:tab w:val="left" w:pos="1728" w:leader="none"/>
          <w:tab w:val="left" w:pos="2880" w:leader="none"/>
        </w:tabs>
        <w:rPr/>
      </w:pPr>
      <w:r>
        <w:rPr>
          <w:rFonts w:cs="Trebuchet MS;Trebuchet MS" w:ascii="Trebuchet MS;Trebuchet MS" w:hAnsi="Trebuchet MS;Trebuchet MS"/>
          <w:sz w:val="18"/>
          <w:szCs w:val="18"/>
        </w:rPr>
        <w:t>Se definen “Obras de Arte”:</w:t>
      </w:r>
    </w:p>
    <w:p>
      <w:pPr>
        <w:pStyle w:val="Normal"/>
        <w:jc w:val="both"/>
        <w:rPr>
          <w:rFonts w:ascii="Trebuchet MS;Trebuchet MS" w:hAnsi="Trebuchet MS;Trebuchet MS" w:cs="Arial;Arial"/>
          <w:sz w:val="18"/>
          <w:szCs w:val="18"/>
        </w:rPr>
      </w:pPr>
      <w:r>
        <w:rPr>
          <w:rFonts w:cs="Arial;Arial" w:ascii="Trebuchet MS;Trebuchet MS" w:hAnsi="Trebuchet MS;Trebuchet MS"/>
          <w:sz w:val="18"/>
          <w:szCs w:val="18"/>
        </w:rPr>
      </w:r>
    </w:p>
    <w:p>
      <w:pPr>
        <w:pStyle w:val="Normal"/>
        <w:jc w:val="both"/>
        <w:rPr>
          <w:rFonts w:ascii="Trebuchet MS;Trebuchet MS" w:hAnsi="Trebuchet MS;Trebuchet MS" w:cs="Arial;Arial"/>
          <w:sz w:val="18"/>
          <w:szCs w:val="18"/>
        </w:rPr>
      </w:pPr>
      <w:r>
        <w:rPr>
          <w:rFonts w:cs="Arial;Arial" w:ascii="Trebuchet MS;Trebuchet MS" w:hAnsi="Trebuchet MS;Trebuchet MS"/>
          <w:sz w:val="18"/>
          <w:szCs w:val="18"/>
        </w:rPr>
        <w:t xml:space="preserve">Pinturas, grabados, cuadros, tapices, cristal raro o artístico, ventanas de cristal artístico, tapetes valiosos, estatuas, esculturas, muebles antiguos, joyas antiguas, antigüedades, porcelanas y bienes raros similares con valor histórico o  artístico, excluyendo automóviles, monedas, timbres, pieles, joyería, piedras preciosas, metales preciosos, embarcaciones, aeronaves, dinero y valores. </w:t>
      </w:r>
    </w:p>
    <w:p>
      <w:pPr>
        <w:pStyle w:val="Normal"/>
        <w:tabs>
          <w:tab w:val="clear" w:pos="708"/>
          <w:tab w:val="left" w:pos="1440" w:leader="none"/>
          <w:tab w:val="left" w:pos="1728" w:leader="none"/>
          <w:tab w:val="left" w:pos="2880" w:leader="none"/>
        </w:tabs>
        <w:jc w:val="both"/>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TextBody"/>
        <w:tabs>
          <w:tab w:val="clear" w:pos="1440"/>
          <w:tab w:val="clear" w:pos="1728"/>
          <w:tab w:val="clear" w:pos="2880"/>
        </w:tabs>
        <w:rPr>
          <w:rFonts w:ascii="Trebuchet MS;Trebuchet MS" w:hAnsi="Trebuchet MS;Trebuchet MS" w:cs="Trebuchet MS;Trebuchet MS"/>
          <w:sz w:val="18"/>
          <w:szCs w:val="18"/>
        </w:rPr>
      </w:pPr>
      <w:r>
        <w:rPr>
          <w:rFonts w:cs="Trebuchet MS;Trebuchet MS" w:ascii="Trebuchet MS;Trebuchet MS" w:hAnsi="Trebuchet MS;Trebuchet MS"/>
          <w:sz w:val="18"/>
          <w:szCs w:val="18"/>
        </w:rPr>
        <w:t>La presente Cláusula está sujeta al Valor Acordado y/o Admitida que se declare y se encuentre determinado en las Condiciones Particulares.</w:t>
      </w:r>
    </w:p>
    <w:p>
      <w:pPr>
        <w:pStyle w:val="Normal"/>
        <w:tabs>
          <w:tab w:val="clear" w:pos="708"/>
          <w:tab w:val="left" w:pos="1440" w:leader="none"/>
          <w:tab w:val="left" w:pos="1728" w:leader="none"/>
          <w:tab w:val="left" w:pos="2880" w:leader="none"/>
        </w:tabs>
        <w:jc w:val="both"/>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TextBody"/>
        <w:tabs>
          <w:tab w:val="clear" w:pos="1440"/>
          <w:tab w:val="clear" w:pos="1728"/>
          <w:tab w:val="clear" w:pos="2880"/>
        </w:tabs>
        <w:rPr>
          <w:rFonts w:ascii="Trebuchet MS;Trebuchet MS" w:hAnsi="Trebuchet MS;Trebuchet MS" w:cs="Trebuchet MS;Trebuchet MS"/>
          <w:sz w:val="18"/>
          <w:szCs w:val="18"/>
        </w:rPr>
      </w:pPr>
      <w:r>
        <w:rPr>
          <w:rFonts w:cs="Trebuchet MS;Trebuchet MS" w:ascii="Trebuchet MS;Trebuchet MS" w:hAnsi="Trebuchet MS;Trebuchet MS"/>
          <w:sz w:val="18"/>
          <w:szCs w:val="18"/>
        </w:rPr>
        <w:t>Queda asimismo entendido y convenido que en caso de daños cubiertos bajo esta Póliza, la Compañía no estará obligada a indemnizar mayor cantidad que la suma en que sean valorizados los cuadros y pinturas, pero no excediendo el límite de establecido en las Condiciones Particulares o del valor específico en que hayan sido asegurados.</w:t>
      </w:r>
    </w:p>
    <w:p>
      <w:pPr>
        <w:pStyle w:val="Normal"/>
        <w:jc w:val="both"/>
        <w:rPr>
          <w:rFonts w:ascii="Trebuchet MS;Trebuchet MS" w:hAnsi="Trebuchet MS;Trebuchet MS" w:cs="Arial;Arial"/>
          <w:sz w:val="18"/>
          <w:szCs w:val="18"/>
        </w:rPr>
      </w:pPr>
      <w:r>
        <w:rPr>
          <w:rFonts w:cs="Arial;Arial" w:ascii="Trebuchet MS;Trebuchet MS" w:hAnsi="Trebuchet MS;Trebuchet MS"/>
          <w:sz w:val="18"/>
          <w:szCs w:val="18"/>
        </w:rPr>
      </w:r>
    </w:p>
    <w:p>
      <w:pPr>
        <w:pStyle w:val="Normal"/>
        <w:jc w:val="both"/>
        <w:rPr>
          <w:rFonts w:ascii="Trebuchet MS;Trebuchet MS" w:hAnsi="Trebuchet MS;Trebuchet MS" w:cs="Arial;Arial"/>
          <w:b/>
          <w:b/>
          <w:bCs/>
          <w:sz w:val="18"/>
          <w:szCs w:val="18"/>
          <w:lang w:val="es-ES"/>
        </w:rPr>
      </w:pPr>
      <w:r>
        <w:rPr>
          <w:rFonts w:cs="Arial;Arial" w:ascii="Trebuchet MS;Trebuchet MS" w:hAnsi="Trebuchet MS;Trebuchet MS"/>
          <w:b/>
          <w:bCs/>
          <w:sz w:val="18"/>
          <w:szCs w:val="18"/>
          <w:lang w:val="es-ES"/>
        </w:rPr>
        <w:t>El ajuste de la pérdida al Daño Patrimonial en virtud de esta póliza será la siguiente:</w:t>
      </w:r>
    </w:p>
    <w:p>
      <w:pPr>
        <w:pStyle w:val="Normal"/>
        <w:jc w:val="both"/>
        <w:rPr>
          <w:rFonts w:ascii="Trebuchet MS;Trebuchet MS" w:hAnsi="Trebuchet MS;Trebuchet MS" w:cs="Arial;Arial"/>
          <w:sz w:val="18"/>
          <w:szCs w:val="18"/>
          <w:lang w:val="es-ES"/>
        </w:rPr>
      </w:pPr>
      <w:r>
        <w:rPr>
          <w:rFonts w:cs="Arial;Arial" w:ascii="Trebuchet MS;Trebuchet MS" w:hAnsi="Trebuchet MS;Trebuchet MS"/>
          <w:sz w:val="18"/>
          <w:szCs w:val="18"/>
          <w:lang w:val="es-ES"/>
        </w:rPr>
        <w:t>Para las Obras de Arte, el costo para reparar o reemplazar  el artículo o el valor actual de tasación, el que sea menor.  Si el (los) artículo(s) que se haya(n) perdido o dañado no se puede(n) reparar o reemplazar y no se puede realizar una tasación, entonces el Valor Real en Efectivo se considerará como la tasación del(los) mismo(s), el que, cuando se utilice en esta póliza, se interpretará incluyendo la deducción adecuada por concepto de depreciación.</w:t>
      </w:r>
    </w:p>
    <w:p>
      <w:pPr>
        <w:pStyle w:val="Normal"/>
        <w:jc w:val="center"/>
        <w:rPr>
          <w:rFonts w:ascii="Trebuchet MS;Trebuchet MS" w:hAnsi="Trebuchet MS;Trebuchet MS" w:cs="Arial;Arial"/>
          <w:sz w:val="18"/>
          <w:szCs w:val="18"/>
          <w:lang w:val="es-ES"/>
        </w:rPr>
      </w:pPr>
      <w:r>
        <w:rPr>
          <w:rFonts w:cs="Arial;Arial" w:ascii="Trebuchet MS;Trebuchet MS" w:hAnsi="Trebuchet MS;Trebuchet MS"/>
          <w:sz w:val="18"/>
          <w:szCs w:val="18"/>
          <w:lang w:val="es-ES"/>
        </w:rPr>
      </w:r>
    </w:p>
    <w:p>
      <w:pPr>
        <w:pStyle w:val="Normal"/>
        <w:jc w:val="center"/>
        <w:rPr>
          <w:rFonts w:ascii="Trebuchet MS;Trebuchet MS" w:hAnsi="Trebuchet MS;Trebuchet MS" w:cs="Arial;Arial"/>
          <w:sz w:val="18"/>
          <w:szCs w:val="18"/>
        </w:rPr>
      </w:pPr>
      <w:r>
        <w:rPr>
          <w:rFonts w:cs="Arial;Arial" w:ascii="Trebuchet MS;Trebuchet MS" w:hAnsi="Trebuchet MS;Trebuchet MS"/>
          <w:sz w:val="18"/>
          <w:szCs w:val="18"/>
        </w:rPr>
      </w:r>
    </w:p>
    <w:p>
      <w:pPr>
        <w:pStyle w:val="Normal"/>
        <w:jc w:val="center"/>
        <w:rPr>
          <w:rFonts w:ascii="Trebuchet MS;Trebuchet MS" w:hAnsi="Trebuchet MS;Trebuchet MS" w:cs="Arial;Arial"/>
          <w:sz w:val="18"/>
          <w:szCs w:val="18"/>
        </w:rPr>
      </w:pPr>
      <w:r>
        <w:rPr>
          <w:rFonts w:cs="Arial;Arial" w:ascii="Trebuchet MS;Trebuchet MS" w:hAnsi="Trebuchet MS;Trebuchet MS"/>
          <w:sz w:val="18"/>
          <w:szCs w:val="18"/>
        </w:rPr>
      </w:r>
    </w:p>
    <w:p>
      <w:pPr>
        <w:pStyle w:val="Normal"/>
        <w:rPr>
          <w:rFonts w:ascii="Trebuchet MS;Trebuchet MS" w:hAnsi="Trebuchet MS;Trebuchet MS" w:cs="Trebuchet MS;Trebuchet MS"/>
          <w:sz w:val="18"/>
          <w:szCs w:val="18"/>
          <w:lang w:val="es-ES"/>
        </w:rPr>
      </w:pPr>
      <w:r>
        <w:rPr>
          <w:rFonts w:cs="Trebuchet MS;Trebuchet MS" w:ascii="Trebuchet MS;Trebuchet MS" w:hAnsi="Trebuchet MS;Trebuchet MS"/>
          <w:sz w:val="18"/>
          <w:szCs w:val="18"/>
          <w:lang w:val="es-ES"/>
        </w:rPr>
      </w:r>
    </w:p>
    <w:p>
      <w:pPr>
        <w:pStyle w:val="Normal"/>
        <w:jc w:val="center"/>
        <w:rPr>
          <w:rFonts w:ascii="Trebuchet MS;Trebuchet MS" w:hAnsi="Trebuchet MS;Trebuchet MS" w:cs="Trebuchet MS;Trebuchet MS"/>
          <w:b/>
          <w:b/>
          <w:sz w:val="18"/>
          <w:szCs w:val="18"/>
        </w:rPr>
      </w:pPr>
      <w:r>
        <w:rPr>
          <w:rFonts w:cs="Trebuchet MS;Trebuchet MS" w:ascii="Trebuchet MS;Trebuchet MS" w:hAnsi="Trebuchet MS;Trebuchet MS"/>
          <w:b/>
          <w:sz w:val="18"/>
          <w:szCs w:val="18"/>
          <w:lang w:val="es-BO"/>
        </w:rPr>
        <w:t>“</w:t>
      </w:r>
      <w:r>
        <w:rPr>
          <w:rFonts w:cs="Trebuchet MS;Trebuchet MS" w:ascii="Trebuchet MS;Trebuchet MS" w:hAnsi="Trebuchet MS;Trebuchet MS"/>
          <w:b/>
          <w:sz w:val="18"/>
          <w:szCs w:val="18"/>
          <w:lang w:val="es-BO"/>
        </w:rPr>
        <w:t>NACIONAL SEGUROS PATRIMONIALES Y FIANZAS S.A.”</w:t>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jc w:val="center"/>
        <w:rPr>
          <w:rFonts w:ascii="Trebuchet MS;Trebuchet MS" w:hAnsi="Trebuchet MS;Trebuchet MS" w:cs="Arial;Arial"/>
          <w:b/>
          <w:b/>
          <w:sz w:val="18"/>
          <w:szCs w:val="18"/>
        </w:rPr>
      </w:pPr>
      <w:r>
        <w:rPr>
          <w:rFonts w:cs="Arial;Arial" w:ascii="Trebuchet MS;Trebuchet MS" w:hAnsi="Trebuchet MS;Trebuchet MS"/>
          <w:b/>
          <w:sz w:val="18"/>
          <w:szCs w:val="18"/>
        </w:rPr>
      </w:r>
    </w:p>
    <w:p>
      <w:pPr>
        <w:pStyle w:val="Normal"/>
        <w:rPr>
          <w:rFonts w:ascii="Trebuchet MS;Trebuchet MS" w:hAnsi="Trebuchet MS;Trebuchet MS" w:cs="Arial;Arial"/>
          <w:bCs/>
          <w:sz w:val="18"/>
          <w:szCs w:val="18"/>
        </w:rPr>
      </w:pPr>
      <w:r>
        <w:rPr>
          <w:rFonts w:cs="Arial;Arial" w:ascii="Trebuchet MS;Trebuchet MS" w:hAnsi="Trebuchet MS;Trebuchet MS"/>
          <w:bCs/>
          <w:sz w:val="18"/>
          <w:szCs w:val="18"/>
        </w:rPr>
        <w:tab/>
        <w:tab/>
        <w:tab/>
      </w:r>
    </w:p>
    <w:p>
      <w:pPr>
        <w:pStyle w:val="Normal"/>
        <w:rPr>
          <w:rFonts w:ascii="Trebuchet MS;Trebuchet MS" w:hAnsi="Trebuchet MS;Trebuchet MS" w:cs="Arial;Arial"/>
          <w:bCs/>
          <w:sz w:val="18"/>
          <w:szCs w:val="18"/>
        </w:rPr>
      </w:pPr>
      <w:r>
        <w:rPr>
          <w:rFonts w:cs="Arial;Arial" w:ascii="Trebuchet MS;Trebuchet MS" w:hAnsi="Trebuchet MS;Trebuchet MS"/>
          <w:bCs/>
          <w:sz w:val="18"/>
          <w:szCs w:val="18"/>
        </w:rPr>
      </w:r>
    </w:p>
    <w:sectPr>
      <w:type w:val="nextPage"/>
      <w:pgSz w:w="12240" w:h="15840"/>
      <w:pgMar w:left="1985" w:right="1418" w:gutter="0" w:header="0" w:top="1134" w:footer="0" w:bottom="226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Arial">
    <w:charset w:val="00"/>
    <w:family w:val="swiss"/>
    <w:pitch w:val="variable"/>
  </w:font>
  <w:font w:name="Liberation Sans">
    <w:altName w:val="Arial"/>
    <w:charset w:val="01"/>
    <w:family w:val="swiss"/>
    <w:pitch w:val="variable"/>
  </w:font>
  <w:font w:name="CG Times">
    <w:charset w:val="00"/>
    <w:family w:val="roman"/>
    <w:pitch w:val="variable"/>
  </w:font>
  <w:font w:name="Trebuchet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Times New Roman" w:hAnsi="Times New Roman;Times New Roman" w:eastAsia="Times New Roman;Times New Roman" w:cs="Times New Roman;Times New Roman"/>
      <w:color w:val="auto"/>
      <w:sz w:val="24"/>
      <w:szCs w:val="20"/>
      <w:lang w:val="es-ES_tradnl" w:bidi="ar-SA" w:eastAsia="zh-CN"/>
    </w:rPr>
  </w:style>
  <w:style w:type="paragraph" w:styleId="Heading1">
    <w:name w:val="Heading 1"/>
    <w:basedOn w:val="Normal"/>
    <w:next w:val="Normal"/>
    <w:qFormat/>
    <w:pPr>
      <w:keepNext w:val="true"/>
      <w:numPr>
        <w:ilvl w:val="0"/>
        <w:numId w:val="1"/>
      </w:numPr>
      <w:ind w:right="23" w:hanging="0"/>
      <w:jc w:val="center"/>
      <w:outlineLvl w:val="0"/>
    </w:pPr>
    <w:rPr>
      <w:rFonts w:ascii="Arial;Arial" w:hAnsi="Arial;Arial" w:cs="Arial;Arial"/>
      <w:b/>
      <w:sz w:val="18"/>
    </w:rPr>
  </w:style>
  <w:style w:type="paragraph" w:styleId="Heading2">
    <w:name w:val="Heading 2"/>
    <w:basedOn w:val="Normal"/>
    <w:next w:val="Normal"/>
    <w:qFormat/>
    <w:pPr>
      <w:keepNext w:val="true"/>
      <w:keepLines/>
      <w:widowControl w:val="false"/>
      <w:numPr>
        <w:ilvl w:val="1"/>
        <w:numId w:val="1"/>
      </w:numPr>
      <w:tabs>
        <w:tab w:val="clear" w:pos="708"/>
        <w:tab w:val="left" w:pos="720" w:leader="none"/>
        <w:tab w:val="left" w:pos="1440" w:leader="none"/>
        <w:tab w:val="left" w:pos="1728" w:leader="none"/>
        <w:tab w:val="left" w:pos="2880" w:leader="none"/>
      </w:tabs>
      <w:suppressAutoHyphens w:val="true"/>
      <w:outlineLvl w:val="1"/>
    </w:pPr>
    <w:rPr>
      <w:b/>
      <w:sz w:val="22"/>
    </w:rPr>
  </w:style>
  <w:style w:type="paragraph" w:styleId="Heading3">
    <w:name w:val="Heading 3"/>
    <w:basedOn w:val="Normal"/>
    <w:next w:val="Normal"/>
    <w:qFormat/>
    <w:pPr>
      <w:keepNext w:val="true"/>
      <w:keepLines/>
      <w:widowControl w:val="false"/>
      <w:numPr>
        <w:ilvl w:val="2"/>
        <w:numId w:val="1"/>
      </w:numPr>
      <w:tabs>
        <w:tab w:val="clear" w:pos="708"/>
        <w:tab w:val="left" w:pos="720" w:leader="none"/>
        <w:tab w:val="left" w:pos="1440" w:leader="none"/>
        <w:tab w:val="left" w:pos="1728" w:leader="none"/>
        <w:tab w:val="left" w:pos="2880" w:leader="none"/>
      </w:tabs>
      <w:suppressAutoHyphens w:val="true"/>
      <w:outlineLvl w:val="2"/>
    </w:pPr>
    <w:rPr>
      <w:b/>
      <w:spacing w:val="-2"/>
      <w:sz w:val="2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5z0">
    <w:name w:val="WW8Num5z0"/>
    <w:qFormat/>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tabs>
        <w:tab w:val="clear" w:pos="708"/>
        <w:tab w:val="left" w:pos="1440" w:leader="none"/>
        <w:tab w:val="left" w:pos="1728" w:leader="none"/>
        <w:tab w:val="left" w:pos="2880" w:leader="none"/>
      </w:tabs>
      <w:jc w:val="both"/>
    </w:pPr>
    <w:rPr>
      <w:rFonts w:ascii="Arial;Arial" w:hAnsi="Arial;Arial" w:cs="Arial;Arial"/>
      <w:sz w:val="1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widowControl w:val="false"/>
      <w:ind w:left="708" w:hanging="0"/>
      <w:jc w:val="both"/>
    </w:pPr>
    <w:rPr>
      <w:sz w:val="20"/>
      <w:lang w:val="es-ES"/>
    </w:rPr>
  </w:style>
  <w:style w:type="paragraph" w:styleId="Textoindependiente3">
    <w:name w:val="Texto independiente 3"/>
    <w:basedOn w:val="Normal"/>
    <w:qFormat/>
    <w:pPr>
      <w:widowControl w:val="false"/>
      <w:tabs>
        <w:tab w:val="clear" w:pos="708"/>
        <w:tab w:val="left" w:pos="1134" w:leader="none"/>
        <w:tab w:val="left" w:pos="1701" w:leader="none"/>
        <w:tab w:val="center" w:pos="4513" w:leader="none"/>
      </w:tabs>
      <w:suppressAutoHyphens w:val="true"/>
      <w:spacing w:lineRule="auto" w:line="336"/>
      <w:jc w:val="both"/>
    </w:pPr>
    <w:rPr>
      <w:rFonts w:ascii="CG Times" w:hAnsi="CG Times" w:cs="CG Times"/>
      <w:i/>
      <w:spacing w:val="-3"/>
    </w:rPr>
  </w:style>
  <w:style w:type="paragraph" w:styleId="Textopredeterminado">
    <w:name w:val="Texto predeterminado"/>
    <w:basedOn w:val="Normal"/>
    <w:qFormat/>
    <w:pPr/>
    <w:rPr>
      <w:lang w:val="en-US"/>
    </w:rPr>
  </w:style>
  <w:style w:type="paragraph" w:styleId="Textoindependiente2">
    <w:name w:val="Texto independiente 2"/>
    <w:basedOn w:val="Normal"/>
    <w:qFormat/>
    <w:pPr>
      <w:tabs>
        <w:tab w:val="clear" w:pos="708"/>
        <w:tab w:val="left" w:pos="1440" w:leader="none"/>
        <w:tab w:val="left" w:pos="1728" w:leader="none"/>
        <w:tab w:val="left" w:pos="2880" w:leader="none"/>
      </w:tabs>
    </w:pPr>
    <w:rPr>
      <w:rFonts w:ascii="Arial;Arial" w:hAnsi="Arial;Arial" w:cs="Arial;Arial"/>
      <w:sz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2006-10-09T10:31:00Z</dcterms:created>
  <dc:creator>Usuario</dc:creator>
  <dc:description/>
  <cp:keywords/>
  <dc:language>en-US</dc:language>
  <cp:lastModifiedBy>Jaime Alejandro Beltran</cp:lastModifiedBy>
  <dcterms:modified xsi:type="dcterms:W3CDTF">2015-06-03T11:30:00Z</dcterms:modified>
  <cp:revision>8</cp:revision>
  <dc:subject/>
  <dc:title>CLAUSULA PARA OBRAS DE ARTE</dc:title>
</cp:coreProperties>
</file>