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/>
        <w:tabs>
          <w:tab w:val="clear" w:pos="708"/>
          <w:tab w:val="right" w:pos="9360" w:leader="none"/>
        </w:tabs>
        <w:suppressAutoHyphens w:val="true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suppressAutoHyphens w:val="true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suppressAutoHyphens w:val="true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suppressAutoHyphens w:val="true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suppressAutoHyphens w:val="true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widowControl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widowControl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577 de fecha 18 de Julio de 2007</w:t>
      </w:r>
    </w:p>
    <w:p>
      <w:pPr>
        <w:pStyle w:val="Heading2"/>
        <w:jc w:val="center"/>
        <w:rPr>
          <w:rFonts w:ascii="Trebuchet MS;Trebuchet MS" w:hAnsi="Trebuchet MS;Trebuchet MS" w:cs="Trebuchet MS;Trebuchet MS"/>
          <w:b w:val="false"/>
          <w:b w:val="false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 w:val="false"/>
          <w:spacing w:val="-2"/>
          <w:sz w:val="18"/>
          <w:szCs w:val="18"/>
          <w:lang w:val="es-ES_tradnl"/>
        </w:rPr>
      </w:r>
    </w:p>
    <w:p>
      <w:pPr>
        <w:pStyle w:val="Heading2"/>
        <w:jc w:val="center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Heading2"/>
        <w:jc w:val="center"/>
        <w:rPr/>
      </w:pPr>
      <w:r>
        <w:rPr>
          <w:rFonts w:cs="Trebuchet MS;Trebuchet MS" w:ascii="Trebuchet MS;Trebuchet MS" w:hAnsi="Trebuchet MS;Trebuchet MS"/>
          <w:sz w:val="18"/>
          <w:szCs w:val="18"/>
        </w:rPr>
        <w:t>CLÁUSULA DE 72 HORAS</w:t>
      </w:r>
    </w:p>
    <w:p>
      <w:pPr>
        <w:pStyle w:val="Normal"/>
        <w:widowControl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          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06 001-2803</w:t>
      </w:r>
    </w:p>
    <w:p>
      <w:pPr>
        <w:pStyle w:val="Normal"/>
        <w:widowControl/>
        <w:ind w:left="640" w:firstLine="80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/APS/DS/No. 199-2011 de fecha 02 de agosto de 2011</w:t>
      </w:r>
    </w:p>
    <w:p>
      <w:pPr>
        <w:pStyle w:val="Normal"/>
        <w:tabs>
          <w:tab w:val="clear" w:pos="708"/>
          <w:tab w:val="left" w:pos="720" w:leader="none"/>
          <w:tab w:val="left" w:pos="1440" w:leader="none"/>
          <w:tab w:val="left" w:pos="1728" w:leader="none"/>
          <w:tab w:val="left" w:pos="2880" w:leader="none"/>
        </w:tabs>
        <w:suppressAutoHyphens w:val="true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720" w:leader="none"/>
          <w:tab w:val="left" w:pos="1440" w:leader="none"/>
          <w:tab w:val="left" w:pos="1728" w:leader="none"/>
          <w:tab w:val="left" w:pos="288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720" w:leader="none"/>
          <w:tab w:val="left" w:pos="1440" w:leader="none"/>
          <w:tab w:val="left" w:pos="1728" w:leader="none"/>
          <w:tab w:val="left" w:pos="288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Mediante la presente cláusula se deja claramente establecido que todo evento natural que sea amparado por la presente póliza a través de la contratación expresa y pago de prima adicional, tales como: Terremoto, Erupción Volcánica, Inundación, Lluvia y Huracán, serán considerados como un solo evento siempre y cuando ocurran dentro de un periodo continuo máximo de 72 horas.</w:t>
      </w:r>
    </w:p>
    <w:p>
      <w:pPr>
        <w:pStyle w:val="Normal"/>
        <w:tabs>
          <w:tab w:val="clear" w:pos="708"/>
          <w:tab w:val="left" w:pos="720" w:leader="none"/>
          <w:tab w:val="left" w:pos="1440" w:leader="none"/>
          <w:tab w:val="left" w:pos="1728" w:leader="none"/>
          <w:tab w:val="left" w:pos="288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720" w:leader="none"/>
          <w:tab w:val="left" w:pos="1440" w:leader="none"/>
          <w:tab w:val="left" w:pos="1728" w:leader="none"/>
          <w:tab w:val="left" w:pos="288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 xml:space="preserve">En caso que los eventos mencionados líneas arriba se produzcan con intervalos mayores a las 72 horas, se considerarán eventos independientes y la aplicación de los deducibles estipulados en las condiciones particulares de la póliza, serán aplicados por cada evento. </w:t>
      </w:r>
    </w:p>
    <w:p>
      <w:pPr>
        <w:pStyle w:val="Normal"/>
        <w:tabs>
          <w:tab w:val="clear" w:pos="708"/>
          <w:tab w:val="left" w:pos="720" w:leader="none"/>
          <w:tab w:val="left" w:pos="1440" w:leader="none"/>
          <w:tab w:val="left" w:pos="1728" w:leader="none"/>
          <w:tab w:val="left" w:pos="288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720" w:leader="none"/>
          <w:tab w:val="left" w:pos="1440" w:leader="none"/>
          <w:tab w:val="left" w:pos="1728" w:leader="none"/>
          <w:tab w:val="left" w:pos="2880" w:leader="none"/>
        </w:tabs>
        <w:jc w:val="both"/>
        <w:rPr/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Se deja claramente establecido que la presente cláusula está orientada únicamente a definir el periodo de tiempo de un evento y no así la cobertura de los riesgos de la naturaleza aquí descritos.</w:t>
      </w:r>
    </w:p>
    <w:p>
      <w:pPr>
        <w:pStyle w:val="Normal"/>
        <w:tabs>
          <w:tab w:val="clear" w:pos="708"/>
          <w:tab w:val="left" w:pos="720" w:leader="none"/>
          <w:tab w:val="left" w:pos="1440" w:leader="none"/>
          <w:tab w:val="left" w:pos="1728" w:leader="none"/>
          <w:tab w:val="left" w:pos="2880" w:leader="none"/>
        </w:tabs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720" w:leader="none"/>
          <w:tab w:val="left" w:pos="1440" w:leader="none"/>
          <w:tab w:val="left" w:pos="1728" w:leader="none"/>
          <w:tab w:val="left" w:pos="2880" w:leader="none"/>
        </w:tabs>
        <w:jc w:val="both"/>
        <w:rPr>
          <w:rFonts w:ascii="Trebuchet MS;Trebuchet MS" w:hAnsi="Trebuchet MS;Trebuchet MS" w:cs="Trebuchet MS;Trebuchet MS"/>
          <w:b/>
          <w:b/>
          <w:strike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trike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720" w:leader="none"/>
          <w:tab w:val="left" w:pos="1440" w:leader="none"/>
          <w:tab w:val="left" w:pos="1728" w:leader="none"/>
          <w:tab w:val="left" w:pos="288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Todos los demás términos y condiciones permanecen sin modificación.</w:t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Cs/>
          <w:sz w:val="18"/>
          <w:szCs w:val="18"/>
          <w:lang w:val="es-MX"/>
        </w:rPr>
        <w:t>“</w:t>
      </w: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  <w:t>NACIONAL SEGUROS PATRIMONIALES Y FIANZAS S.A.”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right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708"/>
        <w:tab w:val="left" w:pos="720" w:leader="none"/>
        <w:tab w:val="left" w:pos="1440" w:leader="none"/>
        <w:tab w:val="left" w:pos="1728" w:leader="none"/>
        <w:tab w:val="left" w:pos="2880" w:leader="none"/>
      </w:tabs>
      <w:suppressAutoHyphens w:val="true"/>
      <w:outlineLvl w:val="1"/>
    </w:pPr>
    <w:rPr>
      <w:rFonts w:ascii="Times New Roman;Times New Roman" w:hAnsi="Times New Roman;Times New Roman" w:cs="Times New Roman;Times New Roman"/>
      <w:b/>
      <w:sz w:val="22"/>
      <w:lang w:val="es-ES_tradnl"/>
    </w:rPr>
  </w:style>
  <w:style w:type="character" w:styleId="WW8Num1z0">
    <w:name w:val="WW8Num1z0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rFonts w:ascii="Times New Roman;Times New Roman" w:hAnsi="Times New Roman;Times New Roman" w:cs="Times New Roman;Times New Roman"/>
      <w:b/>
      <w:u w:val="single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2010-09-17T08:21:00Z</dcterms:created>
  <dc:creator>deneira</dc:creator>
  <dc:description/>
  <dc:language>en-US</dc:language>
  <cp:lastModifiedBy>Franz Brian Muñoz Nery</cp:lastModifiedBy>
  <cp:lastPrinted>2017-05-16T18:39:00Z</cp:lastPrinted>
  <dcterms:modified xsi:type="dcterms:W3CDTF">2017-05-16T18:39:00Z</dcterms:modified>
  <cp:revision>10</cp:revision>
  <dc:subject/>
  <dc:title>“Latina”</dc:title>
</cp:coreProperties>
</file>