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8F" w:rsidRPr="002B258F" w:rsidRDefault="002B258F" w:rsidP="002B258F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POLIZA DE SEGURO DE TODO RIESGO DAÑOS A LA PROPIEDAD</w:t>
      </w:r>
    </w:p>
    <w:p w:rsidR="002B258F" w:rsidRPr="002B258F" w:rsidRDefault="002B258F" w:rsidP="002B258F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CÓDIGO ASIGNADO SPVS 115-910101-2007 06 001    </w:t>
      </w:r>
    </w:p>
    <w:p w:rsidR="002B258F" w:rsidRPr="00073E5F" w:rsidRDefault="002B258F" w:rsidP="002B258F">
      <w:pPr>
        <w:spacing w:after="0" w:line="240" w:lineRule="auto"/>
        <w:jc w:val="center"/>
        <w:outlineLvl w:val="0"/>
        <w:rPr>
          <w:rFonts w:ascii="Trebuchet MS" w:hAnsi="Trebuchet MS" w:cs="Calibri"/>
          <w:b/>
          <w:sz w:val="18"/>
          <w:szCs w:val="18"/>
        </w:rPr>
      </w:pPr>
      <w:r w:rsidRP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RESOLUCION ADMINISTRATIVA 415/2007 DE 13 DE JUNIO DE 2007  </w:t>
      </w:r>
      <w:r w:rsidRPr="00073E5F">
        <w:rPr>
          <w:rFonts w:ascii="Trebuchet MS" w:hAnsi="Trebuchet MS"/>
          <w:b/>
          <w:sz w:val="18"/>
          <w:szCs w:val="18"/>
          <w:lang w:val="es-ES_tradnl"/>
        </w:rPr>
        <w:t xml:space="preserve">  </w:t>
      </w:r>
    </w:p>
    <w:p w:rsidR="00B24922" w:rsidRPr="00C95CEC" w:rsidRDefault="00B24922" w:rsidP="00350106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eastAsia="es-ES"/>
        </w:rPr>
      </w:pPr>
    </w:p>
    <w:p w:rsidR="00292FBA" w:rsidRDefault="00350106" w:rsidP="00350106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CLAUSULA DE ADHESION A LAS DISPOSICIONES DE LA LEY No.708 DE CONCILIACION Y ARBITRAJE </w:t>
      </w:r>
    </w:p>
    <w:p w:rsidR="00350106" w:rsidRPr="00015505" w:rsidRDefault="00350106" w:rsidP="00350106">
      <w:pPr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DE FECHA 25 DE JUNIO DE 2015 </w:t>
      </w:r>
    </w:p>
    <w:p w:rsidR="00D81E9B" w:rsidRPr="00015505" w:rsidRDefault="00D81E9B" w:rsidP="00D81E9B">
      <w:pPr>
        <w:spacing w:after="0" w:line="240" w:lineRule="auto"/>
        <w:jc w:val="center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CÓDIGO </w:t>
      </w:r>
      <w:r w:rsidR="00292FBA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ASIGNADO 115-91</w:t>
      </w:r>
      <w:r w:rsidR="00DF0C69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0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10</w:t>
      </w:r>
      <w:r w:rsid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1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-2007 0</w:t>
      </w:r>
      <w:r w:rsid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6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00</w:t>
      </w:r>
      <w:r w:rsid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1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2</w:t>
      </w:r>
      <w:r w:rsidR="002B258F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811</w:t>
      </w: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</w:t>
      </w:r>
    </w:p>
    <w:p w:rsidR="00D81E9B" w:rsidRPr="00015505" w:rsidRDefault="00D81E9B" w:rsidP="00D81E9B">
      <w:pPr>
        <w:spacing w:after="0" w:line="240" w:lineRule="auto"/>
        <w:jc w:val="center"/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</w:pP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RESOLUCION ADMINISTRATIVA APS/DS/No.43</w:t>
      </w:r>
      <w:r w:rsidR="008E5A44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6</w:t>
      </w:r>
      <w:r w:rsidR="00DF0C69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-</w:t>
      </w:r>
      <w:r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2016</w:t>
      </w:r>
      <w:r w:rsidR="00476734"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DE FECHA 07 DE ABRIL DE</w:t>
      </w:r>
      <w:r w:rsidR="004613FA"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 xml:space="preserve"> </w:t>
      </w:r>
      <w:r w:rsidR="00476734" w:rsidRPr="00015505">
        <w:rPr>
          <w:rFonts w:ascii="Trebuchet MS" w:eastAsia="Times New Roman" w:hAnsi="Trebuchet MS" w:cs="Arial"/>
          <w:b/>
          <w:sz w:val="18"/>
          <w:szCs w:val="18"/>
          <w:lang w:val="es-ES" w:eastAsia="es-ES"/>
        </w:rPr>
        <w:t>2016</w:t>
      </w:r>
    </w:p>
    <w:p w:rsidR="005F071A" w:rsidRPr="005F071A" w:rsidRDefault="005F071A" w:rsidP="005F071A">
      <w:pPr>
        <w:tabs>
          <w:tab w:val="right" w:pos="923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5E0B2B" w:rsidRPr="00476734" w:rsidRDefault="00C72084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M</w:t>
      </w:r>
      <w:proofErr w:type="spellStart"/>
      <w:r w:rsidR="004F7A3D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e</w:t>
      </w:r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diante</w:t>
      </w:r>
      <w:proofErr w:type="spellEnd"/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</w:t>
      </w:r>
      <w:r w:rsidR="006B4934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esta</w:t>
      </w:r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cláusula</w:t>
      </w:r>
      <w:r w:rsidR="00826A13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,</w:t>
      </w:r>
      <w:r w:rsidR="00DD3013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</w:t>
      </w:r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que forma parte inseparable de la</w:t>
      </w:r>
      <w:r w:rsidR="006B4934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presente póliza</w:t>
      </w:r>
      <w:r w:rsidR="005F071A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las partes</w:t>
      </w:r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contratantes</w:t>
      </w:r>
      <w:r w:rsidR="004F7A3D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en cumplimiento a lo dispuesto por el artículo 39 de la Ley de Seguros N° 1883</w:t>
      </w:r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de 25 de junio de 1998, complementada </w:t>
      </w:r>
      <w:r w:rsidR="00DD3013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con</w:t>
      </w:r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el romano VIII. </w:t>
      </w:r>
      <w:proofErr w:type="gramStart"/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de</w:t>
      </w:r>
      <w:proofErr w:type="gramEnd"/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la Cláusula Primera de las Disposiciones Adicionales de la Le</w:t>
      </w:r>
      <w:bookmarkStart w:id="0" w:name="_GoBack"/>
      <w:bookmarkEnd w:id="0"/>
      <w:r w:rsidR="003A6A92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>y</w:t>
      </w:r>
      <w:r w:rsidR="005E0B2B"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 N° 365 de 23 de abril de 2013, acuerdan </w:t>
      </w:r>
      <w:r w:rsidR="005E0B2B" w:rsidRPr="00476734">
        <w:rPr>
          <w:rFonts w:ascii="Trebuchet MS" w:hAnsi="Trebuchet MS" w:cs="Arial"/>
          <w:sz w:val="18"/>
          <w:szCs w:val="18"/>
        </w:rPr>
        <w:t>que:</w:t>
      </w:r>
    </w:p>
    <w:p w:rsidR="005E0B2B" w:rsidRPr="00476734" w:rsidRDefault="005E0B2B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5E0B2B" w:rsidRPr="00476734" w:rsidRDefault="005E0B2B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 xml:space="preserve">Cualquier discrepancia, cuestión o reclamación resultante de la ejecución o interpretación de la presente Póliza o relacionado con ella, directa o indirectamente, </w:t>
      </w:r>
      <w:r w:rsidR="00DD3013" w:rsidRPr="00476734">
        <w:rPr>
          <w:rFonts w:ascii="Trebuchet MS" w:hAnsi="Trebuchet MS" w:cs="Arial"/>
          <w:sz w:val="18"/>
          <w:szCs w:val="18"/>
        </w:rPr>
        <w:t xml:space="preserve">será resuelta con sujeción </w:t>
      </w:r>
      <w:r w:rsidR="007B0B62" w:rsidRPr="00476734">
        <w:rPr>
          <w:rFonts w:ascii="Trebuchet MS" w:hAnsi="Trebuchet MS" w:cs="Arial"/>
          <w:sz w:val="18"/>
          <w:szCs w:val="18"/>
        </w:rPr>
        <w:t>a lo establecido por la Ley</w:t>
      </w:r>
      <w:r w:rsidR="00E12196" w:rsidRPr="00476734">
        <w:rPr>
          <w:rFonts w:ascii="Trebuchet MS" w:hAnsi="Trebuchet MS" w:cs="Arial"/>
          <w:sz w:val="18"/>
          <w:szCs w:val="18"/>
        </w:rPr>
        <w:t xml:space="preserve"> de Conciliación y Arbitraje N° </w:t>
      </w:r>
      <w:r w:rsidR="007B0B62" w:rsidRPr="00476734">
        <w:rPr>
          <w:rFonts w:ascii="Trebuchet MS" w:hAnsi="Trebuchet MS" w:cs="Arial"/>
          <w:sz w:val="18"/>
          <w:szCs w:val="18"/>
        </w:rPr>
        <w:t>708 de 25 de junio de 2015, observando los siguientes procedimientos:</w:t>
      </w:r>
    </w:p>
    <w:p w:rsidR="005E0B2B" w:rsidRPr="00476734" w:rsidRDefault="005E0B2B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B01741" w:rsidRPr="00476734" w:rsidRDefault="00B01741" w:rsidP="00C26E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rebuchet MS" w:hAnsi="Trebuchet MS" w:cs="HelveticaNeue-Roman"/>
          <w:sz w:val="18"/>
          <w:szCs w:val="18"/>
        </w:rPr>
      </w:pPr>
      <w:r w:rsidRPr="00476734">
        <w:rPr>
          <w:rFonts w:ascii="Trebuchet MS" w:hAnsi="Trebuchet MS" w:cs="Arial"/>
          <w:b/>
          <w:sz w:val="18"/>
          <w:szCs w:val="18"/>
        </w:rPr>
        <w:t>CONCILIACION</w:t>
      </w:r>
      <w:r w:rsidR="00932B3C" w:rsidRPr="00476734">
        <w:rPr>
          <w:rFonts w:ascii="Trebuchet MS" w:hAnsi="Trebuchet MS" w:cs="Arial"/>
          <w:b/>
          <w:sz w:val="18"/>
          <w:szCs w:val="18"/>
        </w:rPr>
        <w:t>:</w:t>
      </w:r>
    </w:p>
    <w:p w:rsidR="00932B3C" w:rsidRPr="00476734" w:rsidRDefault="00932B3C" w:rsidP="00C26E9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rebuchet MS" w:hAnsi="Trebuchet MS" w:cs="HelveticaNeue-Roman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Hasta 100.000</w:t>
      </w:r>
      <w:proofErr w:type="gramStart"/>
      <w:r w:rsidRPr="00476734">
        <w:rPr>
          <w:rFonts w:ascii="Trebuchet MS" w:hAnsi="Trebuchet MS" w:cs="Arial"/>
          <w:sz w:val="18"/>
          <w:szCs w:val="18"/>
        </w:rPr>
        <w:t>.—</w:t>
      </w:r>
      <w:proofErr w:type="spellStart"/>
      <w:proofErr w:type="gramEnd"/>
      <w:r w:rsidRPr="00476734">
        <w:rPr>
          <w:rFonts w:ascii="Trebuchet MS" w:hAnsi="Trebuchet MS" w:cs="Arial"/>
          <w:sz w:val="18"/>
          <w:szCs w:val="18"/>
        </w:rPr>
        <w:t>UFV’s</w:t>
      </w:r>
      <w:proofErr w:type="spellEnd"/>
      <w:r w:rsidRPr="00476734">
        <w:rPr>
          <w:rFonts w:ascii="Trebuchet MS" w:hAnsi="Trebuchet MS" w:cs="Arial"/>
          <w:sz w:val="18"/>
          <w:szCs w:val="18"/>
        </w:rPr>
        <w:t>, la Autoridad de Fiscalización y Control de Pensiones y Seguros podrá fungir como instancia de conciliación, sometida al procedimiento dispuesto en el correspondiente Reglamento</w:t>
      </w:r>
      <w:r w:rsidR="00057830" w:rsidRPr="00476734">
        <w:rPr>
          <w:rFonts w:ascii="Trebuchet MS" w:hAnsi="Trebuchet MS" w:cs="Arial"/>
          <w:sz w:val="18"/>
          <w:szCs w:val="18"/>
        </w:rPr>
        <w:t>.</w:t>
      </w:r>
    </w:p>
    <w:p w:rsidR="00057830" w:rsidRPr="00476734" w:rsidRDefault="00932B3C" w:rsidP="00C26E9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rebuchet MS" w:hAnsi="Trebuchet MS" w:cs="HelveticaNeue-Roman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De 100.000</w:t>
      </w:r>
      <w:proofErr w:type="gramStart"/>
      <w:r w:rsidRPr="00476734">
        <w:rPr>
          <w:rFonts w:ascii="Trebuchet MS" w:hAnsi="Trebuchet MS" w:cs="Arial"/>
          <w:sz w:val="18"/>
          <w:szCs w:val="18"/>
        </w:rPr>
        <w:t>.—</w:t>
      </w:r>
      <w:proofErr w:type="spellStart"/>
      <w:proofErr w:type="gramEnd"/>
      <w:r w:rsidRPr="00476734">
        <w:rPr>
          <w:rFonts w:ascii="Trebuchet MS" w:hAnsi="Trebuchet MS" w:cs="Arial"/>
          <w:sz w:val="18"/>
          <w:szCs w:val="18"/>
        </w:rPr>
        <w:t>UFV’s</w:t>
      </w:r>
      <w:proofErr w:type="spellEnd"/>
      <w:r w:rsidRPr="00476734">
        <w:rPr>
          <w:rFonts w:ascii="Trebuchet MS" w:hAnsi="Trebuchet MS" w:cs="Arial"/>
          <w:sz w:val="18"/>
          <w:szCs w:val="18"/>
        </w:rPr>
        <w:t xml:space="preserve"> adelante las partes podrán acudir a los Centros de Conciliación</w:t>
      </w:r>
      <w:r w:rsidR="008367EE" w:rsidRPr="00476734">
        <w:rPr>
          <w:rFonts w:ascii="Trebuchet MS" w:hAnsi="Trebuchet MS" w:cs="Arial"/>
          <w:sz w:val="18"/>
          <w:szCs w:val="18"/>
        </w:rPr>
        <w:t xml:space="preserve"> </w:t>
      </w:r>
      <w:r w:rsidRPr="00476734">
        <w:rPr>
          <w:rFonts w:ascii="Trebuchet MS" w:hAnsi="Trebuchet MS" w:cs="Arial"/>
          <w:sz w:val="18"/>
          <w:szCs w:val="18"/>
        </w:rPr>
        <w:t>autorizados y registrados por el Ministerio de Justicia</w:t>
      </w:r>
      <w:r w:rsidR="00057830" w:rsidRPr="00476734">
        <w:rPr>
          <w:rFonts w:ascii="Trebuchet MS" w:hAnsi="Trebuchet MS" w:cs="Arial"/>
          <w:sz w:val="18"/>
          <w:szCs w:val="18"/>
        </w:rPr>
        <w:t xml:space="preserve"> debiendo someterse a los reglamentos aprobados</w:t>
      </w:r>
      <w:r w:rsidR="008367EE" w:rsidRPr="00476734">
        <w:rPr>
          <w:rFonts w:ascii="Trebuchet MS" w:hAnsi="Trebuchet MS" w:cs="Arial"/>
          <w:sz w:val="18"/>
          <w:szCs w:val="18"/>
        </w:rPr>
        <w:t>.</w:t>
      </w:r>
    </w:p>
    <w:p w:rsidR="00057830" w:rsidRPr="00476734" w:rsidRDefault="00057830" w:rsidP="0005783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rebuchet MS" w:hAnsi="Trebuchet MS" w:cs="Arial"/>
          <w:sz w:val="18"/>
          <w:szCs w:val="18"/>
        </w:rPr>
      </w:pPr>
    </w:p>
    <w:p w:rsidR="00932B3C" w:rsidRPr="00476734" w:rsidRDefault="00057830" w:rsidP="001B63D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La Conciliación concluirá con la firma del Acta de Conciliación parcial o total</w:t>
      </w:r>
      <w:r w:rsidR="001B63D2" w:rsidRPr="00476734">
        <w:rPr>
          <w:rFonts w:ascii="Trebuchet MS" w:hAnsi="Trebuchet MS" w:cs="Arial"/>
          <w:sz w:val="18"/>
          <w:szCs w:val="18"/>
        </w:rPr>
        <w:t xml:space="preserve"> cuya exigibilidad será inmediata y adquirirá la calidad de cosa juzgada</w:t>
      </w:r>
      <w:r w:rsidR="00932B3C" w:rsidRPr="00476734">
        <w:rPr>
          <w:rFonts w:ascii="Trebuchet MS" w:hAnsi="Trebuchet MS" w:cs="Arial"/>
          <w:sz w:val="18"/>
          <w:szCs w:val="18"/>
        </w:rPr>
        <w:t>.</w:t>
      </w:r>
    </w:p>
    <w:p w:rsidR="00C72084" w:rsidRPr="00476734" w:rsidRDefault="00C72084" w:rsidP="001B63D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rebuchet MS" w:hAnsi="Trebuchet MS" w:cs="Arial"/>
          <w:sz w:val="18"/>
          <w:szCs w:val="18"/>
        </w:rPr>
      </w:pPr>
    </w:p>
    <w:p w:rsidR="00C26E9C" w:rsidRPr="00476734" w:rsidRDefault="00C26E9C" w:rsidP="00C26E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b/>
          <w:sz w:val="18"/>
          <w:szCs w:val="18"/>
        </w:rPr>
        <w:t>ARBITRAJE</w:t>
      </w:r>
    </w:p>
    <w:p w:rsidR="00C26E9C" w:rsidRPr="00476734" w:rsidRDefault="00C26E9C" w:rsidP="00C26E9C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Si mediante la conciliación las partes no arribarán a un acuerdo</w:t>
      </w:r>
      <w:r w:rsidR="00E12196" w:rsidRPr="00476734">
        <w:rPr>
          <w:rFonts w:ascii="Trebuchet MS" w:hAnsi="Trebuchet MS" w:cs="Arial"/>
          <w:sz w:val="18"/>
          <w:szCs w:val="18"/>
        </w:rPr>
        <w:t>,</w:t>
      </w:r>
      <w:r w:rsidRPr="00476734">
        <w:rPr>
          <w:rFonts w:ascii="Trebuchet MS" w:hAnsi="Trebuchet MS" w:cs="Arial"/>
          <w:sz w:val="18"/>
          <w:szCs w:val="18"/>
        </w:rPr>
        <w:t xml:space="preserve"> o la controversia versará sobre cuestiones de derecho, esta deberá resolverse de manera definitiva mediante Arbitraje de Derecho. </w:t>
      </w:r>
    </w:p>
    <w:p w:rsidR="00887AE7" w:rsidRPr="00476734" w:rsidRDefault="005E0B2B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Las partes convienen en acudir al Centro de Conciliación y Arbitraje de la</w:t>
      </w:r>
      <w:r w:rsidR="00887AE7" w:rsidRPr="00476734">
        <w:rPr>
          <w:rFonts w:ascii="Trebuchet MS" w:hAnsi="Trebuchet MS" w:cs="Arial"/>
          <w:sz w:val="18"/>
          <w:szCs w:val="18"/>
        </w:rPr>
        <w:t>s</w:t>
      </w:r>
      <w:r w:rsidRPr="00476734">
        <w:rPr>
          <w:rFonts w:ascii="Trebuchet MS" w:hAnsi="Trebuchet MS" w:cs="Arial"/>
          <w:sz w:val="18"/>
          <w:szCs w:val="18"/>
        </w:rPr>
        <w:t xml:space="preserve"> Cámara</w:t>
      </w:r>
      <w:r w:rsidR="00887AE7" w:rsidRPr="00476734">
        <w:rPr>
          <w:rFonts w:ascii="Trebuchet MS" w:hAnsi="Trebuchet MS" w:cs="Arial"/>
          <w:sz w:val="18"/>
          <w:szCs w:val="18"/>
        </w:rPr>
        <w:t>s</w:t>
      </w:r>
      <w:r w:rsidRPr="00476734">
        <w:rPr>
          <w:rFonts w:ascii="Trebuchet MS" w:hAnsi="Trebuchet MS" w:cs="Arial"/>
          <w:sz w:val="18"/>
          <w:szCs w:val="18"/>
        </w:rPr>
        <w:t xml:space="preserve"> de Comercio</w:t>
      </w:r>
      <w:r w:rsidR="00887AE7" w:rsidRPr="00476734">
        <w:rPr>
          <w:rFonts w:ascii="Trebuchet MS" w:hAnsi="Trebuchet MS" w:cs="Arial"/>
          <w:sz w:val="18"/>
          <w:szCs w:val="18"/>
        </w:rPr>
        <w:t>, autorizadas por el Ministerio de Justicia</w:t>
      </w:r>
      <w:r w:rsidRPr="00476734">
        <w:rPr>
          <w:rFonts w:ascii="Trebuchet MS" w:hAnsi="Trebuchet MS" w:cs="Arial"/>
          <w:sz w:val="18"/>
          <w:szCs w:val="18"/>
        </w:rPr>
        <w:t xml:space="preserve"> con sede en el departamento donde se ha suscrito la póliza.  En caso de no existir un Centro de Conciliación y Arbitraje de la Cámara de Comercio en el Departamento donde se emitió la Póliza, </w:t>
      </w:r>
      <w:r w:rsidR="00887AE7" w:rsidRPr="00476734">
        <w:rPr>
          <w:rFonts w:ascii="Trebuchet MS" w:hAnsi="Trebuchet MS" w:cs="Arial"/>
          <w:sz w:val="18"/>
          <w:szCs w:val="18"/>
        </w:rPr>
        <w:t>este se</w:t>
      </w:r>
      <w:r w:rsidRPr="00476734">
        <w:rPr>
          <w:rFonts w:ascii="Trebuchet MS" w:hAnsi="Trebuchet MS" w:cs="Arial"/>
          <w:sz w:val="18"/>
          <w:szCs w:val="18"/>
        </w:rPr>
        <w:t xml:space="preserve"> realizará</w:t>
      </w:r>
      <w:r w:rsidR="00887AE7" w:rsidRPr="00476734">
        <w:rPr>
          <w:rFonts w:ascii="Trebuchet MS" w:hAnsi="Trebuchet MS" w:cs="Arial"/>
          <w:sz w:val="18"/>
          <w:szCs w:val="18"/>
        </w:rPr>
        <w:t xml:space="preserve"> conforme al siguiente orden:</w:t>
      </w:r>
    </w:p>
    <w:p w:rsidR="00887AE7" w:rsidRPr="00476734" w:rsidRDefault="00887AE7" w:rsidP="005E0B2B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887AE7" w:rsidRPr="00476734" w:rsidRDefault="00887AE7" w:rsidP="00887AE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Donde se deba cumplir la obligación;</w:t>
      </w:r>
    </w:p>
    <w:p w:rsidR="00887AE7" w:rsidRPr="00476734" w:rsidRDefault="00887AE7" w:rsidP="00887AE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E</w:t>
      </w:r>
      <w:r w:rsidR="00E12196" w:rsidRPr="00476734">
        <w:rPr>
          <w:rFonts w:ascii="Trebuchet MS" w:hAnsi="Trebuchet MS" w:cs="Arial"/>
          <w:sz w:val="18"/>
          <w:szCs w:val="18"/>
        </w:rPr>
        <w:t>n e</w:t>
      </w:r>
      <w:r w:rsidRPr="00476734">
        <w:rPr>
          <w:rFonts w:ascii="Trebuchet MS" w:hAnsi="Trebuchet MS" w:cs="Arial"/>
          <w:sz w:val="18"/>
          <w:szCs w:val="18"/>
        </w:rPr>
        <w:t>l domicilio del tomador o asegurado;</w:t>
      </w:r>
    </w:p>
    <w:p w:rsidR="00887AE7" w:rsidRPr="00476734" w:rsidRDefault="00887AE7" w:rsidP="00887AE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E</w:t>
      </w:r>
      <w:r w:rsidR="00E12196" w:rsidRPr="00476734">
        <w:rPr>
          <w:rFonts w:ascii="Trebuchet MS" w:hAnsi="Trebuchet MS" w:cs="Arial"/>
          <w:sz w:val="18"/>
          <w:szCs w:val="18"/>
        </w:rPr>
        <w:t xml:space="preserve">n </w:t>
      </w:r>
      <w:r w:rsidRPr="00476734">
        <w:rPr>
          <w:rFonts w:ascii="Trebuchet MS" w:hAnsi="Trebuchet MS" w:cs="Arial"/>
          <w:sz w:val="18"/>
          <w:szCs w:val="18"/>
        </w:rPr>
        <w:t>el domicilio de la Entidad Aseguradora.</w:t>
      </w:r>
      <w:r w:rsidR="005E0B2B" w:rsidRPr="00476734">
        <w:rPr>
          <w:rFonts w:ascii="Trebuchet MS" w:hAnsi="Trebuchet MS" w:cs="Arial"/>
          <w:sz w:val="18"/>
          <w:szCs w:val="18"/>
        </w:rPr>
        <w:t xml:space="preserve"> </w:t>
      </w:r>
    </w:p>
    <w:p w:rsidR="00887AE7" w:rsidRPr="00476734" w:rsidRDefault="00887AE7" w:rsidP="00887AE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D91A5D" w:rsidRPr="00476734" w:rsidRDefault="00D91A5D" w:rsidP="00D91A5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Se conviene expresamente que el Tribunal Arbitral estará integrado por tres (3) árbitros, dos (2) designados por las partes y el tercero designado por ellos mismos de mutuo acuerdo.  En caso de que no fuere posible, los árbitros serán designados por el Centro de Conciliación y Arbitraje de la Cámara de Comercio, a solicitud de cualquiera de las partes.</w:t>
      </w:r>
    </w:p>
    <w:p w:rsidR="00D91A5D" w:rsidRPr="00476734" w:rsidRDefault="00D91A5D" w:rsidP="00887AE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D91A5D" w:rsidRPr="00476734" w:rsidRDefault="00D91A5D" w:rsidP="00887AE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Cada parte asumirá los gastos propios que determine el arancel del Centro de Conciliación y Arbitraje; los gastos comunes serán pagados por ambas partes en montos iguales.</w:t>
      </w:r>
    </w:p>
    <w:p w:rsidR="005E0B2B" w:rsidRPr="00476734" w:rsidRDefault="005E0B2B" w:rsidP="00887AE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</w:p>
    <w:p w:rsidR="00D91A5D" w:rsidRPr="00476734" w:rsidRDefault="00D91A5D" w:rsidP="00D91A5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sz w:val="18"/>
          <w:szCs w:val="18"/>
        </w:rPr>
      </w:pPr>
      <w:r w:rsidRPr="00476734">
        <w:rPr>
          <w:rFonts w:ascii="Trebuchet MS" w:hAnsi="Trebuchet MS" w:cs="Arial"/>
          <w:sz w:val="18"/>
          <w:szCs w:val="18"/>
        </w:rPr>
        <w:t>La existencia de la presente Cláusula Arbitral importa la renuncia de las partes a iniciar proceso judicial sobre las controversias sometidas a arbitraje.</w:t>
      </w:r>
    </w:p>
    <w:p w:rsidR="00F53FDB" w:rsidRPr="00476734" w:rsidRDefault="00F53FDB" w:rsidP="00F53FDB">
      <w:pPr>
        <w:tabs>
          <w:tab w:val="right" w:pos="9230"/>
        </w:tabs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</w:p>
    <w:p w:rsidR="00F53FDB" w:rsidRPr="00476734" w:rsidRDefault="005F071A" w:rsidP="00F53FDB">
      <w:pPr>
        <w:tabs>
          <w:tab w:val="right" w:pos="9230"/>
        </w:tabs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  <w:r w:rsidRPr="00476734">
        <w:rPr>
          <w:rFonts w:ascii="Trebuchet MS" w:eastAsia="Times New Roman" w:hAnsi="Trebuchet MS" w:cs="Arial"/>
          <w:sz w:val="18"/>
          <w:szCs w:val="18"/>
          <w:lang w:val="es-ES" w:eastAsia="es-ES"/>
        </w:rPr>
        <w:t xml:space="preserve">Lo expuesto en la presente cláusula prevalece sobre el condicionado general, particular y/o cualquier otra clausula o anexo adicional. </w:t>
      </w:r>
    </w:p>
    <w:p w:rsidR="00F53FDB" w:rsidRPr="00476734" w:rsidRDefault="00F53FDB" w:rsidP="00F53FDB">
      <w:pPr>
        <w:tabs>
          <w:tab w:val="right" w:pos="9230"/>
        </w:tabs>
        <w:spacing w:after="0" w:line="240" w:lineRule="auto"/>
        <w:jc w:val="both"/>
        <w:rPr>
          <w:rFonts w:ascii="Trebuchet MS" w:eastAsia="Times New Roman" w:hAnsi="Trebuchet MS" w:cs="Arial"/>
          <w:sz w:val="18"/>
          <w:szCs w:val="18"/>
          <w:lang w:val="es-ES" w:eastAsia="es-ES"/>
        </w:rPr>
      </w:pPr>
    </w:p>
    <w:p w:rsidR="00F53FDB" w:rsidRDefault="00F53FDB" w:rsidP="00F53FDB">
      <w:pPr>
        <w:tabs>
          <w:tab w:val="right" w:pos="9230"/>
        </w:tabs>
        <w:spacing w:after="0" w:line="240" w:lineRule="auto"/>
        <w:jc w:val="center"/>
        <w:rPr>
          <w:rFonts w:ascii="Trebuchet MS" w:eastAsia="Times New Roman" w:hAnsi="Trebuchet MS" w:cs="Arial"/>
          <w:b/>
          <w:sz w:val="20"/>
          <w:szCs w:val="20"/>
          <w:lang w:val="es-ES" w:eastAsia="es-ES"/>
        </w:rPr>
      </w:pPr>
    </w:p>
    <w:p w:rsidR="003A1357" w:rsidRPr="00F53FDB" w:rsidRDefault="00F53FDB" w:rsidP="00F53FDB">
      <w:pPr>
        <w:tabs>
          <w:tab w:val="right" w:pos="9230"/>
        </w:tabs>
        <w:spacing w:after="0" w:line="240" w:lineRule="auto"/>
        <w:jc w:val="center"/>
        <w:rPr>
          <w:b/>
        </w:rPr>
      </w:pPr>
      <w:r w:rsidRPr="00F53FDB">
        <w:rPr>
          <w:rFonts w:ascii="Trebuchet MS" w:eastAsia="Times New Roman" w:hAnsi="Trebuchet MS" w:cs="Arial"/>
          <w:b/>
          <w:sz w:val="20"/>
          <w:szCs w:val="20"/>
          <w:lang w:val="es-ES" w:eastAsia="es-ES"/>
        </w:rPr>
        <w:t>“NACIONAL SEGUROS PATRIMONIALES Y FIANZAS S.A.”</w:t>
      </w:r>
    </w:p>
    <w:sectPr w:rsidR="003A1357" w:rsidRPr="00F53FDB" w:rsidSect="00F53FDB">
      <w:pgSz w:w="12240" w:h="15840" w:code="1"/>
      <w:pgMar w:top="1276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EE1" w:rsidRDefault="00217EE1" w:rsidP="00217EE1">
      <w:pPr>
        <w:spacing w:after="0" w:line="240" w:lineRule="auto"/>
      </w:pPr>
      <w:r>
        <w:separator/>
      </w:r>
    </w:p>
  </w:endnote>
  <w:endnote w:type="continuationSeparator" w:id="0">
    <w:p w:rsidR="00217EE1" w:rsidRDefault="00217EE1" w:rsidP="0021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EE1" w:rsidRDefault="00217EE1" w:rsidP="00217EE1">
      <w:pPr>
        <w:spacing w:after="0" w:line="240" w:lineRule="auto"/>
      </w:pPr>
      <w:r>
        <w:separator/>
      </w:r>
    </w:p>
  </w:footnote>
  <w:footnote w:type="continuationSeparator" w:id="0">
    <w:p w:rsidR="00217EE1" w:rsidRDefault="00217EE1" w:rsidP="0021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72FA"/>
    <w:multiLevelType w:val="hybridMultilevel"/>
    <w:tmpl w:val="6D049F84"/>
    <w:lvl w:ilvl="0" w:tplc="805257DE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 w:hint="default"/>
        <w:b/>
        <w:sz w:val="24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613B28"/>
    <w:multiLevelType w:val="hybridMultilevel"/>
    <w:tmpl w:val="392846C6"/>
    <w:lvl w:ilvl="0" w:tplc="723020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D45C7"/>
    <w:multiLevelType w:val="hybridMultilevel"/>
    <w:tmpl w:val="558C508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F9"/>
    <w:rsid w:val="00015505"/>
    <w:rsid w:val="00057830"/>
    <w:rsid w:val="00121645"/>
    <w:rsid w:val="001B63D2"/>
    <w:rsid w:val="00217EE1"/>
    <w:rsid w:val="00292FBA"/>
    <w:rsid w:val="002B258F"/>
    <w:rsid w:val="00350106"/>
    <w:rsid w:val="003A1357"/>
    <w:rsid w:val="003A6A92"/>
    <w:rsid w:val="004613FA"/>
    <w:rsid w:val="00476734"/>
    <w:rsid w:val="004F7A3D"/>
    <w:rsid w:val="005E0B2B"/>
    <w:rsid w:val="005F071A"/>
    <w:rsid w:val="00626944"/>
    <w:rsid w:val="006B4934"/>
    <w:rsid w:val="007B0B62"/>
    <w:rsid w:val="00826A13"/>
    <w:rsid w:val="008367EE"/>
    <w:rsid w:val="00887AE7"/>
    <w:rsid w:val="008E5A44"/>
    <w:rsid w:val="009042A5"/>
    <w:rsid w:val="00932B3C"/>
    <w:rsid w:val="00AF0C84"/>
    <w:rsid w:val="00B01741"/>
    <w:rsid w:val="00B24922"/>
    <w:rsid w:val="00C26E9C"/>
    <w:rsid w:val="00C72084"/>
    <w:rsid w:val="00C95CEC"/>
    <w:rsid w:val="00D755F9"/>
    <w:rsid w:val="00D81E9B"/>
    <w:rsid w:val="00D91A5D"/>
    <w:rsid w:val="00DD3013"/>
    <w:rsid w:val="00DF0C69"/>
    <w:rsid w:val="00E12196"/>
    <w:rsid w:val="00EE09BE"/>
    <w:rsid w:val="00F5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7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7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EE1"/>
  </w:style>
  <w:style w:type="paragraph" w:styleId="Piedepgina">
    <w:name w:val="footer"/>
    <w:basedOn w:val="Normal"/>
    <w:link w:val="PiedepginaCar"/>
    <w:uiPriority w:val="99"/>
    <w:unhideWhenUsed/>
    <w:rsid w:val="00217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EE1"/>
  </w:style>
  <w:style w:type="paragraph" w:customStyle="1" w:styleId="a">
    <w:basedOn w:val="Normal"/>
    <w:next w:val="Ttulo"/>
    <w:qFormat/>
    <w:rsid w:val="009042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042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04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7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7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EE1"/>
  </w:style>
  <w:style w:type="paragraph" w:styleId="Piedepgina">
    <w:name w:val="footer"/>
    <w:basedOn w:val="Normal"/>
    <w:link w:val="PiedepginaCar"/>
    <w:uiPriority w:val="99"/>
    <w:unhideWhenUsed/>
    <w:rsid w:val="00217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EE1"/>
  </w:style>
  <w:style w:type="paragraph" w:customStyle="1" w:styleId="a">
    <w:basedOn w:val="Normal"/>
    <w:next w:val="Ttulo"/>
    <w:qFormat/>
    <w:rsid w:val="009042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042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04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CAE03-8E4D-4ECB-B245-C9D142A9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CLÁUSULA DE ADHESIÓN A LAS DISPOSICIONES DE LA LEY N° 708 DE CONCILIACION Y ARBITRAJE, DE 25 DE JUNIO DE 2015</dc:subject>
  <dc:creator>Sonia Jannet Dips Salvatierra</dc:creator>
  <cp:lastModifiedBy>Blanca Yola Iris Rivera Coronel</cp:lastModifiedBy>
  <cp:revision>3</cp:revision>
  <cp:lastPrinted>2016-04-26T16:17:00Z</cp:lastPrinted>
  <dcterms:created xsi:type="dcterms:W3CDTF">2016-04-26T16:17:00Z</dcterms:created>
  <dcterms:modified xsi:type="dcterms:W3CDTF">2016-07-29T15:26:00Z</dcterms:modified>
</cp:coreProperties>
</file>