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autoSpaceDE w:val="false"/>
        <w:rPr>
          <w:rFonts w:ascii="Trebuchet MS" w:hAnsi="Trebuchet MS" w:cs="Trebuchet MS"/>
          <w:color w:val="000000"/>
          <w:sz w:val="18"/>
          <w:szCs w:val="18"/>
        </w:rPr>
      </w:pPr>
      <w:r>
        <w:rPr>
          <w:rFonts w:cs="Trebuchet MS" w:ascii="Trebuchet MS" w:hAnsi="Trebuchet MS"/>
          <w:color w:val="000000"/>
          <w:sz w:val="18"/>
          <w:szCs w:val="18"/>
        </w:rPr>
      </w:r>
      <w:bookmarkStart w:id="0" w:name="Pg1"/>
      <w:bookmarkStart w:id="1" w:name="Pg1"/>
      <w:bookmarkEnd w:id="1"/>
    </w:p>
    <w:p>
      <w:pPr>
        <w:pStyle w:val="Normal"/>
        <w:widowControl w:val="false"/>
        <w:autoSpaceDE w:val="false"/>
        <w:spacing w:lineRule="exact" w:line="144"/>
        <w:ind w:left="5366" w:hanging="0"/>
        <w:rPr>
          <w:rFonts w:ascii="Trebuchet MS" w:hAnsi="Trebuchet MS" w:cs="Trebuchet MS"/>
          <w:color w:val="000000"/>
          <w:sz w:val="18"/>
          <w:szCs w:val="18"/>
        </w:rPr>
      </w:pPr>
      <w:r>
        <w:rPr>
          <w:rFonts w:cs="Trebuchet MS" w:ascii="Trebuchet MS" w:hAnsi="Trebuchet MS"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144"/>
        <w:ind w:left="5366" w:hanging="0"/>
        <w:rPr>
          <w:rFonts w:ascii="Trebuchet MS" w:hAnsi="Trebuchet MS" w:cs="Trebuchet MS"/>
          <w:color w:val="000000"/>
          <w:sz w:val="18"/>
          <w:szCs w:val="18"/>
        </w:rPr>
      </w:pPr>
      <w:r>
        <w:rPr>
          <w:rFonts w:cs="Trebuchet MS" w:ascii="Trebuchet MS" w:hAnsi="Trebuchet MS"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144"/>
        <w:ind w:left="5366" w:hanging="0"/>
        <w:rPr>
          <w:rFonts w:ascii="Trebuchet MS" w:hAnsi="Trebuchet MS" w:cs="Trebuchet MS"/>
          <w:color w:val="000000"/>
          <w:sz w:val="18"/>
          <w:szCs w:val="18"/>
        </w:rPr>
      </w:pPr>
      <w:r>
        <w:rPr>
          <w:rFonts w:cs="Trebuchet MS" w:ascii="Trebuchet MS" w:hAnsi="Trebuchet MS"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144"/>
        <w:ind w:left="5366" w:hanging="0"/>
        <w:rPr>
          <w:rFonts w:ascii="Trebuchet MS" w:hAnsi="Trebuchet MS" w:cs="Trebuchet MS"/>
          <w:color w:val="000000"/>
          <w:sz w:val="18"/>
          <w:szCs w:val="18"/>
        </w:rPr>
      </w:pPr>
      <w:r>
        <w:rPr>
          <w:rFonts w:cs="Trebuchet MS" w:ascii="Trebuchet MS" w:hAnsi="Trebuchet MS"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144"/>
        <w:ind w:left="5366" w:hanging="0"/>
        <w:rPr>
          <w:rFonts w:ascii="Trebuchet MS" w:hAnsi="Trebuchet MS" w:cs="Trebuchet MS"/>
          <w:color w:val="000000"/>
          <w:sz w:val="18"/>
          <w:szCs w:val="18"/>
        </w:rPr>
      </w:pPr>
      <w:r>
        <w:rPr>
          <w:rFonts w:cs="Trebuchet MS" w:ascii="Trebuchet MS" w:hAnsi="Trebuchet MS"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spacing w:before="10" w:after="0"/>
        <w:ind w:left="1560" w:hanging="0"/>
        <w:rPr>
          <w:rFonts w:ascii="Trebuchet MS" w:hAnsi="Trebuchet MS" w:cs="Arial"/>
          <w:color w:val="000000"/>
          <w:w w:val="123"/>
          <w:sz w:val="18"/>
          <w:szCs w:val="18"/>
          <w:u w:val="single"/>
        </w:rPr>
      </w:pPr>
      <w:r>
        <w:rPr>
          <w:rFonts w:cs="Arial" w:ascii="Trebuchet MS" w:hAnsi="Trebuchet MS"/>
          <w:color w:val="000000"/>
          <w:w w:val="123"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3612" w:hanging="0"/>
        <w:jc w:val="both"/>
        <w:rPr>
          <w:rFonts w:ascii="Trebuchet MS" w:hAnsi="Trebuchet MS" w:cs="Trebuchet MS"/>
          <w:b/>
          <w:b/>
          <w:color w:val="000000"/>
          <w:w w:val="109"/>
          <w:position w:val="-2"/>
          <w:sz w:val="18"/>
          <w:szCs w:val="18"/>
          <w:u w:val="single"/>
        </w:rPr>
      </w:pPr>
      <w:r>
        <w:rPr>
          <w:rFonts w:cs="Trebuchet MS" w:ascii="Trebuchet MS" w:hAnsi="Trebuchet MS"/>
          <w:b/>
          <w:color w:val="000000"/>
          <w:w w:val="109"/>
          <w:position w:val="-2"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jc w:val="center"/>
        <w:rPr>
          <w:rFonts w:ascii="Trebuchet MS" w:hAnsi="Trebuchet MS" w:cs="Trebuchet MS"/>
          <w:b/>
          <w:b/>
          <w:color w:val="000000"/>
          <w:w w:val="109"/>
          <w:position w:val="-2"/>
          <w:sz w:val="18"/>
          <w:szCs w:val="18"/>
        </w:rPr>
      </w:pPr>
      <w:r>
        <w:rPr>
          <w:rFonts w:eastAsia="Trebuchet MS" w:cs="Trebuchet MS" w:ascii="Trebuchet MS" w:hAnsi="Trebuchet MS"/>
          <w:b/>
          <w:color w:val="000000"/>
          <w:w w:val="109"/>
          <w:position w:val="-2"/>
          <w:sz w:val="18"/>
          <w:szCs w:val="18"/>
        </w:rPr>
        <w:t xml:space="preserve">             </w:t>
      </w:r>
      <w:r>
        <w:rPr>
          <w:rFonts w:cs="Trebuchet MS" w:ascii="Trebuchet MS" w:hAnsi="Trebuchet MS"/>
          <w:b/>
          <w:color w:val="000000"/>
          <w:w w:val="109"/>
          <w:position w:val="-2"/>
          <w:sz w:val="18"/>
          <w:szCs w:val="18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color w:val="000000"/>
          <w:sz w:val="18"/>
          <w:szCs w:val="18"/>
        </w:rPr>
      </w:pPr>
      <w:r>
        <w:rPr>
          <w:rFonts w:cs="Arial" w:ascii="Trebuchet MS" w:hAnsi="Trebuchet MS"/>
          <w:b/>
          <w:color w:val="000000"/>
          <w:sz w:val="18"/>
          <w:szCs w:val="18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color w:val="000000"/>
          <w:sz w:val="18"/>
          <w:szCs w:val="18"/>
        </w:rPr>
      </w:pPr>
      <w:r>
        <w:rPr>
          <w:rFonts w:cs="Arial" w:ascii="Trebuchet MS" w:hAnsi="Trebuchet MS"/>
          <w:b/>
          <w:color w:val="000000"/>
          <w:sz w:val="18"/>
          <w:szCs w:val="18"/>
        </w:rPr>
        <w:t>RESOLUCIÓN ADMINISTRATIVA /SPVS/IS/No. 415 de fecha 13 de Junio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color w:val="000000"/>
          <w:sz w:val="18"/>
          <w:szCs w:val="18"/>
          <w:u w:val="single"/>
        </w:rPr>
      </w:pPr>
      <w:r>
        <w:rPr>
          <w:rFonts w:cs="Arial" w:ascii="Trebuchet MS" w:hAnsi="Trebuchet MS"/>
          <w:b/>
          <w:color w:val="000000"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spacing w:lineRule="exact" w:line="90" w:before="1" w:after="0"/>
        <w:ind w:right="1616" w:hanging="0"/>
        <w:jc w:val="both"/>
        <w:rPr>
          <w:rFonts w:ascii="Trebuchet MS" w:hAnsi="Trebuchet MS" w:cs="Arial"/>
          <w:b/>
          <w:b/>
          <w:color w:val="000000"/>
          <w:w w:val="128"/>
          <w:sz w:val="18"/>
          <w:szCs w:val="18"/>
          <w:u w:val="single"/>
        </w:rPr>
      </w:pPr>
      <w:r>
        <w:rPr>
          <w:rFonts w:cs="Arial" w:ascii="Trebuchet MS" w:hAnsi="Trebuchet MS"/>
          <w:b/>
          <w:color w:val="000000"/>
          <w:w w:val="128"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spacing w:lineRule="exact" w:line="90" w:before="1" w:after="0"/>
        <w:ind w:left="3614" w:right="1616" w:firstLine="4"/>
        <w:jc w:val="both"/>
        <w:rPr>
          <w:rFonts w:ascii="Trebuchet MS" w:hAnsi="Trebuchet MS" w:cs="Arial"/>
          <w:b/>
          <w:b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28"/>
          <w:sz w:val="18"/>
          <w:szCs w:val="18"/>
        </w:rPr>
      </w:r>
    </w:p>
    <w:p>
      <w:pPr>
        <w:pStyle w:val="Normal"/>
        <w:widowControl w:val="false"/>
        <w:autoSpaceDE w:val="false"/>
        <w:spacing w:before="10" w:after="0"/>
        <w:ind w:left="3440" w:firstLine="80"/>
        <w:rPr>
          <w:rFonts w:ascii="Trebuchet MS" w:hAnsi="Trebuchet MS" w:cs="Arial"/>
          <w:b/>
          <w:b/>
          <w:color w:val="000000"/>
          <w:w w:val="123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23"/>
          <w:sz w:val="18"/>
          <w:szCs w:val="18"/>
        </w:rPr>
        <w:t>CLÁUSULA DE COMBUSTIÓN ESPONTÁNEA</w:t>
      </w:r>
    </w:p>
    <w:p>
      <w:pPr>
        <w:pStyle w:val="Normal"/>
        <w:ind w:left="560" w:firstLine="80"/>
        <w:jc w:val="center"/>
        <w:rPr>
          <w:rFonts w:ascii="Trebuchet MS" w:hAnsi="Trebuchet MS" w:cs="Arial"/>
          <w:b/>
          <w:b/>
          <w:color w:val="000000"/>
          <w:sz w:val="18"/>
          <w:szCs w:val="18"/>
        </w:rPr>
      </w:pPr>
      <w:r>
        <w:rPr>
          <w:rFonts w:cs="Arial" w:ascii="Trebuchet MS" w:hAnsi="Trebuchet MS"/>
          <w:b/>
          <w:color w:val="000000"/>
          <w:sz w:val="18"/>
          <w:szCs w:val="18"/>
        </w:rPr>
        <w:t>Código Asignado 115-910101-2007 06 001-2152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color w:val="000000"/>
          <w:sz w:val="18"/>
          <w:szCs w:val="18"/>
        </w:rPr>
        <w:t>RESOLUCIÓN ASFI Nº 223/2009 de fecha 11 de Septiembre de 2009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color w:val="000000"/>
          <w:sz w:val="18"/>
          <w:szCs w:val="18"/>
        </w:rPr>
      </w:pPr>
      <w:r>
        <w:rPr>
          <w:rFonts w:cs="Arial" w:ascii="Trebuchet MS" w:hAnsi="Trebuchet MS"/>
          <w:b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spacing w:before="20" w:after="0"/>
        <w:ind w:left="1559" w:hanging="0"/>
        <w:jc w:val="both"/>
        <w:rPr>
          <w:rFonts w:ascii="Trebuchet MS" w:hAnsi="Trebuchet MS" w:cs="Arial"/>
          <w:b/>
          <w:b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28"/>
          <w:sz w:val="18"/>
          <w:szCs w:val="18"/>
        </w:rPr>
      </w:r>
    </w:p>
    <w:p>
      <w:pPr>
        <w:pStyle w:val="Normal"/>
        <w:widowControl w:val="false"/>
        <w:autoSpaceDE w:val="false"/>
        <w:spacing w:before="20" w:after="0"/>
        <w:ind w:left="1559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Se acuerda y establece que la presente Cláusula se extiende a cubrir a Ia materia asegurada y hasta los montos estipulados en las Condiciones Particulares contra pérdidas por daños materiales directamente ocasionados por COMBUSTIÓN ESPONTANEA de los productos o mercaderías almacenados y amparados por esta Póliza.</w:t>
      </w:r>
    </w:p>
    <w:p>
      <w:pPr>
        <w:pStyle w:val="Normal"/>
        <w:widowControl w:val="false"/>
        <w:autoSpaceDE w:val="false"/>
        <w:spacing w:lineRule="exact" w:line="140"/>
        <w:ind w:left="3604" w:hanging="0"/>
        <w:jc w:val="both"/>
        <w:rPr>
          <w:rFonts w:ascii="Trebuchet MS" w:hAnsi="Trebuchet MS" w:cs="Arial"/>
          <w:color w:val="000000"/>
          <w:w w:val="123"/>
          <w:sz w:val="18"/>
          <w:szCs w:val="18"/>
        </w:rPr>
      </w:pPr>
      <w:r>
        <w:rPr>
          <w:rFonts w:cs="Arial" w:ascii="Trebuchet MS" w:hAnsi="Trebuchet MS"/>
          <w:color w:val="000000"/>
          <w:w w:val="123"/>
          <w:sz w:val="18"/>
          <w:szCs w:val="18"/>
        </w:rPr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Se entiende por Combustión Espontánea la incineración, calcinación, carbonización, tostamiento ó recalentamiento producido ó generado sin la aplicación previa de un cuerpo inflamado ya sea que con motivo de estos fenómenos se produzca o no Ilamas.</w:t>
      </w:r>
    </w:p>
    <w:p>
      <w:pPr>
        <w:pStyle w:val="Normal"/>
        <w:widowControl w:val="false"/>
        <w:autoSpaceDE w:val="false"/>
        <w:spacing w:before="1" w:after="0"/>
        <w:ind w:left="1560" w:right="1616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/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El Asegurado conviene en observar la mayor precaución en el almacenamiento de los productos asegurados bajo esta Cláusula, y además observar el cumplimiento estricto de las siguientes disposiciones</w:t>
      </w:r>
    </w:p>
    <w:p>
      <w:pPr>
        <w:sectPr>
          <w:type w:val="nextPage"/>
          <w:pgSz w:w="11906" w:h="16838"/>
          <w:pgMar w:left="0" w:right="1127" w:gutter="0" w:header="0" w:top="0" w:footer="0" w:bottom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autoSpaceDE w:val="false"/>
        <w:ind w:left="1559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tabs>
          <w:tab w:val="clear" w:pos="80"/>
          <w:tab w:val="left" w:pos="1843" w:leader="none"/>
        </w:tabs>
        <w:autoSpaceDE w:val="false"/>
        <w:spacing w:before="1" w:after="0"/>
        <w:ind w:left="1560" w:hanging="0"/>
        <w:jc w:val="both"/>
        <w:rPr/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a)</w:t>
        <w:tab/>
        <w:tab/>
        <w:t>Limpieza y mantenimiento general dentro del local o depósito</w:t>
      </w:r>
    </w:p>
    <w:p>
      <w:pPr>
        <w:pStyle w:val="Normal"/>
        <w:widowControl w:val="false"/>
        <w:tabs>
          <w:tab w:val="clear" w:pos="80"/>
          <w:tab w:val="left" w:pos="184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b)</w:t>
        <w:tab/>
        <w:tab/>
        <w:t>Grado de pureza</w:t>
      </w:r>
    </w:p>
    <w:p>
      <w:pPr>
        <w:pStyle w:val="Normal"/>
        <w:widowControl w:val="false"/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c)</w:t>
        <w:tab/>
        <w:t xml:space="preserve">  </w:t>
        <w:tab/>
        <w:t>Cantidad de Productos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/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 xml:space="preserve">d)  Separación de sustancias propensas a la combustión espontánea de los agentes de     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eastAsia="Trebuchet MS" w:cs="Trebuchet MS" w:ascii="Trebuchet MS" w:hAnsi="Trebuchet MS"/>
          <w:color w:val="000000"/>
          <w:w w:val="128"/>
          <w:sz w:val="18"/>
          <w:szCs w:val="18"/>
        </w:rPr>
        <w:t xml:space="preserve">      </w:t>
      </w:r>
      <w:r>
        <w:rPr>
          <w:rFonts w:cs="Arial" w:ascii="Trebuchet MS" w:hAnsi="Trebuchet MS"/>
          <w:color w:val="000000"/>
          <w:w w:val="128"/>
          <w:sz w:val="18"/>
          <w:szCs w:val="18"/>
        </w:rPr>
        <w:t>oxidación o aceites para secarse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e)  Estado seco, ventilado y a prueba de elementos como ser polvo y humedad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f)   Regirse a las normas internacionales, principalmente respecto a restricciones en el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eastAsia="Trebuchet MS" w:cs="Trebuchet MS" w:ascii="Trebuchet MS" w:hAnsi="Trebuchet MS"/>
          <w:color w:val="000000"/>
          <w:w w:val="128"/>
          <w:sz w:val="18"/>
          <w:szCs w:val="18"/>
        </w:rPr>
        <w:t xml:space="preserve">     </w:t>
      </w:r>
      <w:r>
        <w:rPr>
          <w:rFonts w:cs="Arial" w:ascii="Trebuchet MS" w:hAnsi="Trebuchet MS"/>
          <w:color w:val="000000"/>
          <w:w w:val="128"/>
          <w:sz w:val="18"/>
          <w:szCs w:val="18"/>
        </w:rPr>
        <w:t>tamaño de los montones y amplitud de los pasillos para permitir  inspecciones y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eastAsia="Trebuchet MS" w:cs="Trebuchet MS" w:ascii="Trebuchet MS" w:hAnsi="Trebuchet MS"/>
          <w:color w:val="000000"/>
          <w:w w:val="128"/>
          <w:sz w:val="18"/>
          <w:szCs w:val="18"/>
        </w:rPr>
        <w:t xml:space="preserve">     </w:t>
      </w:r>
      <w:r>
        <w:rPr>
          <w:rFonts w:cs="Arial" w:ascii="Trebuchet MS" w:hAnsi="Trebuchet MS"/>
          <w:color w:val="000000"/>
          <w:w w:val="128"/>
          <w:sz w:val="18"/>
          <w:szCs w:val="18"/>
        </w:rPr>
        <w:t>toma de temperaturas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/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g)  Ventilación en los montones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/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h)  Facilidad de inspección y manejo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i)   Espacios libres por todos los lados, incluyendo entre los techos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j)   Descartar los bultos en estado descolorido, calientes o en putrefacción y  reemplazar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eastAsia="Trebuchet MS" w:cs="Trebuchet MS" w:ascii="Trebuchet MS" w:hAnsi="Trebuchet MS"/>
          <w:color w:val="000000"/>
          <w:w w:val="128"/>
          <w:sz w:val="18"/>
          <w:szCs w:val="18"/>
        </w:rPr>
        <w:t xml:space="preserve">     </w:t>
      </w:r>
      <w:r>
        <w:rPr>
          <w:rFonts w:cs="Arial" w:ascii="Trebuchet MS" w:hAnsi="Trebuchet MS"/>
          <w:color w:val="000000"/>
          <w:w w:val="128"/>
          <w:sz w:val="18"/>
          <w:szCs w:val="18"/>
        </w:rPr>
        <w:t>los sacos con nuevos y limpios removiendo los vacios del local ó depósito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k)  El asegurado deberá adoptar todas las medidas necesarias y razonables conducentes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/>
      </w:pPr>
      <w:r>
        <w:rPr>
          <w:rFonts w:eastAsia="Trebuchet MS" w:cs="Trebuchet MS" w:ascii="Trebuchet MS" w:hAnsi="Trebuchet MS"/>
          <w:color w:val="000000"/>
          <w:w w:val="128"/>
          <w:sz w:val="18"/>
          <w:szCs w:val="18"/>
        </w:rPr>
        <w:t xml:space="preserve">     </w:t>
      </w:r>
      <w:r>
        <w:rPr>
          <w:rFonts w:cs="Arial" w:ascii="Trebuchet MS" w:hAnsi="Trebuchet MS"/>
          <w:color w:val="000000"/>
          <w:w w:val="128"/>
          <w:sz w:val="18"/>
          <w:szCs w:val="18"/>
        </w:rPr>
        <w:t>a evitar que se produzcan los riesgos amparados por esta cobertura.</w:t>
      </w:r>
    </w:p>
    <w:p>
      <w:pPr>
        <w:pStyle w:val="Normal"/>
        <w:widowControl w:val="false"/>
        <w:autoSpaceDE w:val="false"/>
        <w:spacing w:before="20" w:after="0"/>
        <w:ind w:left="1560" w:hanging="0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autoSpaceDE w:val="false"/>
        <w:spacing w:before="20" w:after="0"/>
        <w:ind w:left="1560" w:hanging="0"/>
        <w:rPr>
          <w:rFonts w:ascii="Trebuchet MS" w:hAnsi="Trebuchet MS" w:cs="Arial"/>
          <w:b/>
          <w:b/>
          <w:color w:val="000000"/>
          <w:w w:val="128"/>
          <w:sz w:val="18"/>
          <w:szCs w:val="18"/>
          <w:u w:val="single"/>
        </w:rPr>
      </w:pPr>
      <w:r>
        <w:rPr>
          <w:rFonts w:cs="Arial" w:ascii="Trebuchet MS" w:hAnsi="Trebuchet MS"/>
          <w:b/>
          <w:color w:val="000000"/>
          <w:w w:val="128"/>
          <w:sz w:val="18"/>
          <w:szCs w:val="18"/>
          <w:u w:val="single"/>
        </w:rPr>
        <w:t>Riesgos y Bienes Excluidos</w:t>
      </w:r>
    </w:p>
    <w:p>
      <w:pPr>
        <w:pStyle w:val="Normal"/>
        <w:widowControl w:val="false"/>
        <w:autoSpaceDE w:val="false"/>
        <w:spacing w:before="20" w:after="0"/>
        <w:ind w:left="1560" w:hanging="0"/>
        <w:rPr>
          <w:rFonts w:ascii="Trebuchet MS" w:hAnsi="Trebuchet MS" w:cs="Arial"/>
          <w:b/>
          <w:b/>
          <w:color w:val="000000"/>
          <w:w w:val="128"/>
          <w:sz w:val="18"/>
          <w:szCs w:val="18"/>
          <w:u w:val="single"/>
        </w:rPr>
      </w:pPr>
      <w:r>
        <w:rPr>
          <w:rFonts w:cs="Arial" w:ascii="Trebuchet MS" w:hAnsi="Trebuchet MS"/>
          <w:b/>
          <w:color w:val="000000"/>
          <w:w w:val="128"/>
          <w:sz w:val="18"/>
          <w:szCs w:val="18"/>
          <w:u w:val="single"/>
        </w:rPr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 xml:space="preserve">No obstante lo dispuesto en el número anterior, la presente cobertura adicional, 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 xml:space="preserve">no ampara otros vicios propios de la materia asegurada, de modo que los daños, 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para poder contar con cobertura y ser indemnizables, deberán haberse producido como consecuencia de circunstancias fortuitas e imprevisibles para el Asegurado.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Asimismo, quedan excluidos de esta cobertura, los bienes que no estén sujetos a este riesgo y los que se encuentren almacenados al aire libre.</w:t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tabs>
          <w:tab w:val="clear" w:pos="80"/>
          <w:tab w:val="left" w:pos="10773" w:leader="none"/>
        </w:tabs>
        <w:autoSpaceDE w:val="false"/>
        <w:spacing w:before="1" w:after="0"/>
        <w:ind w:left="1560" w:hanging="0"/>
        <w:jc w:val="both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  <w:t>Todos los demás términos, condiciones y exclusiones permanecen inalterables.</w:t>
      </w:r>
    </w:p>
    <w:p>
      <w:pPr>
        <w:pStyle w:val="Normal"/>
        <w:widowControl w:val="false"/>
        <w:autoSpaceDE w:val="false"/>
        <w:spacing w:before="20" w:after="0"/>
        <w:ind w:left="1919" w:hanging="359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autoSpaceDE w:val="false"/>
        <w:spacing w:before="20" w:after="0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widowControl w:val="false"/>
        <w:tabs>
          <w:tab w:val="clear" w:pos="80"/>
          <w:tab w:val="left" w:pos="2469" w:leader="none"/>
        </w:tabs>
        <w:autoSpaceDE w:val="false"/>
        <w:ind w:left="1559" w:hanging="3686"/>
        <w:rPr>
          <w:rFonts w:ascii="Trebuchet MS" w:hAnsi="Trebuchet MS" w:cs="Arial"/>
          <w:color w:val="000000"/>
          <w:w w:val="128"/>
          <w:sz w:val="18"/>
          <w:szCs w:val="18"/>
        </w:rPr>
      </w:pPr>
      <w:r>
        <w:rPr>
          <w:rFonts w:cs="Arial" w:ascii="Trebuchet MS" w:hAnsi="Trebuchet MS"/>
          <w:color w:val="000000"/>
          <w:w w:val="128"/>
          <w:sz w:val="18"/>
          <w:szCs w:val="18"/>
        </w:rPr>
      </w:r>
    </w:p>
    <w:p>
      <w:pPr>
        <w:pStyle w:val="Normal"/>
        <w:tabs>
          <w:tab w:val="clear" w:pos="80"/>
          <w:tab w:val="left" w:pos="4320" w:leader="none"/>
        </w:tabs>
        <w:rPr/>
      </w:pPr>
      <w:r>
        <w:rPr>
          <w:rFonts w:cs="Arial" w:ascii="Trebuchet MS" w:hAnsi="Trebuchet MS"/>
          <w:sz w:val="18"/>
          <w:szCs w:val="18"/>
        </w:rPr>
        <w:tab/>
      </w:r>
      <w:r>
        <w:rPr>
          <w:rFonts w:cs="Arial" w:ascii="Trebuchet MS" w:hAnsi="Trebuchet MS"/>
          <w:b/>
          <w:sz w:val="18"/>
          <w:szCs w:val="18"/>
        </w:rPr>
        <w:t>“NACIONAL SEGUROS PATRIMONIALES Y FIANZAS S.A.”</w:t>
      </w:r>
    </w:p>
    <w:sectPr>
      <w:type w:val="continuous"/>
      <w:pgSz w:w="11906" w:h="16838"/>
      <w:pgMar w:left="0" w:right="1127" w:gutter="0" w:header="0" w:top="0" w:footer="0" w:bottom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2009-09-11T19:47:00Z</dcterms:created>
  <dc:creator>acloma</dc:creator>
  <dc:description/>
  <cp:keywords/>
  <dc:language>en-US</dc:language>
  <cp:lastModifiedBy>Jaime Alejandro Beltran</cp:lastModifiedBy>
  <dcterms:modified xsi:type="dcterms:W3CDTF">2015-06-02T18:02:00Z</dcterms:modified>
  <cp:revision>8</cp:revision>
  <dc:subject/>
  <dc:title>CI_AUSULA DE COMBUSTION ESPONTANEA </dc:title>
</cp:coreProperties>
</file>