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SPVS/IS/No.415/2007 DE 13 DE JUNIO DE 2007    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keepNext w:val="true"/>
        <w:numPr>
          <w:ilvl w:val="0"/>
          <w:numId w:val="0"/>
        </w:numPr>
        <w:jc w:val="center"/>
        <w:outlineLvl w:val="0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CLAUSULA DE DAÑOS ELECTRICOS (S)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2951   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</w:rPr>
        <w:t>RESOLUCIÓN ADMINISTRATIVA APS/DS/No.782/2020 DE FECHA 13 DE AGOSTO DE 2020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 xml:space="preserve">No obstante lo indicado en las Condiciones Generales esta póliza se extiende a cubrir pérdidas o daños por rayo directo y/o indirecto y/o descargas atmosféricas y/u otros fenómenos eléctricos, sobretensión en general, exceso de voltaje e inducción, corriente y/o energía eléctrica, perturbaciones por campos magnéticos, aislamientos insuficientes, quemaduras y/o daños de aislamientos y  daños en aparatos eléctricos y/o instalaciones eléctricas por cortocircuito y/o auto recalentamiento y/o arco voltaico y/o corto circuito y/o daños emergentes de la electricidad, haya o no incendio, </w:t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gutter="0" w:header="0" w:top="212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szCs w:val="20"/>
      <w:lang w:val="es-ES_tradnl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  <w:i/>
    </w:rPr>
  </w:style>
  <w:style w:type="character" w:styleId="WW8Num2z1">
    <w:name w:val="WW8Num2z1"/>
    <w:qFormat/>
    <w:rPr>
      <w:b w:val="false"/>
      <w:i/>
    </w:rPr>
  </w:style>
  <w:style w:type="character" w:styleId="Fuentedeprrafopredeter">
    <w:name w:val="Fuente de párrafo predeter."/>
    <w:qFormat/>
    <w:rPr/>
  </w:style>
  <w:style w:type="character" w:styleId="Textoindependiente2Car">
    <w:name w:val="Texto independiente 2 Car"/>
    <w:qFormat/>
    <w:rPr>
      <w:rFonts w:ascii="Times New Roman" w:hAnsi="Times New Roman" w:eastAsia="Times New Roman" w:cs="Times New Roman"/>
      <w:sz w:val="24"/>
      <w:szCs w:val="20"/>
      <w:lang w:val="es-ES"/>
    </w:rPr>
  </w:style>
  <w:style w:type="character" w:styleId="TextoindependienteCar">
    <w:name w:val="Texto independiente Car"/>
    <w:qFormat/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Ttulo1Car">
    <w:name w:val="Título 1 Car"/>
    <w:qFormat/>
    <w:rPr>
      <w:rFonts w:ascii="Arial" w:hAnsi="Arial" w:eastAsia="Times New Roman" w:cs="Arial"/>
      <w:sz w:val="24"/>
      <w:lang w:val="es-ES"/>
    </w:rPr>
  </w:style>
  <w:style w:type="character" w:styleId="Ttulo2Car">
    <w:name w:val="Título 2 Car"/>
    <w:qFormat/>
    <w:rPr>
      <w:rFonts w:ascii="Arial" w:hAnsi="Arial" w:eastAsia="Times New Roman" w:cs="Arial"/>
      <w:b/>
      <w:sz w:val="16"/>
      <w:lang w:val="es-ES_tradnl"/>
    </w:rPr>
  </w:style>
  <w:style w:type="character" w:styleId="TextodegloboCar">
    <w:name w:val="Texto de globo Car"/>
    <w:qFormat/>
    <w:rPr>
      <w:rFonts w:ascii="Segoe UI" w:hAnsi="Segoe UI" w:eastAsia="Times New Roman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2020-08-17T19:06:00Z</dcterms:created>
  <dc:creator>Víctor Fernando Chamizo Quispe</dc:creator>
  <dc:description/>
  <cp:keywords/>
  <dc:language>en-US</dc:language>
  <cp:lastModifiedBy>Blanca Yola Iris Rivera Coronel</cp:lastModifiedBy>
  <cp:lastPrinted>2020-02-17T14:42:00Z</cp:lastPrinted>
  <dcterms:modified xsi:type="dcterms:W3CDTF">2020-08-17T19:06:00Z</dcterms:modified>
  <cp:revision>2</cp:revision>
  <dc:subject/>
  <dc:title/>
</cp:coreProperties>
</file>