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CLAUSULA DE DAÑOS ELECTRICOS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06 001-2156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Heading2"/>
        <w:rPr>
          <w:rFonts w:ascii="Trebuchet MS;Trebuchet MS" w:hAnsi="Trebuchet MS;Trebuchet MS" w:cs="Arial;Arial"/>
          <w:b w:val="false"/>
          <w:b w:val="false"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 w:val="false"/>
          <w:spacing w:val="-2"/>
          <w:sz w:val="18"/>
          <w:szCs w:val="18"/>
          <w:lang w:val="es-BO"/>
        </w:rPr>
      </w:r>
    </w:p>
    <w:p>
      <w:pPr>
        <w:pStyle w:val="Normal"/>
        <w:rPr>
          <w:rFonts w:ascii="Arial;Arial" w:hAnsi="Arial;Arial" w:cs="Arial;Arial"/>
          <w:sz w:val="18"/>
          <w:szCs w:val="18"/>
          <w:lang w:val="es-ES"/>
        </w:rPr>
      </w:pPr>
      <w:r>
        <w:rPr>
          <w:rFonts w:cs="Arial;Arial" w:ascii="Arial;Arial" w:hAnsi="Arial;Arial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Esta póliza se extiende a cubrir pérdidas o daños causados directamente por daños eléctricos y/o perturbaciones eléctricas en equipos o dispositivos eléctricos y/o electromecánicos asegurados, pero excluyendo particularmente a los equipos electrónicos, causados por fenómenos eléctricos anormales, súbitos, imprevistos y accidentales, producidos en el exterior de los bienes dañados, pero excluyendo todas aquellas pérdidas o daños que sean consecuencia de, provocadas por u originadas en, causas internas.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La expresión “daños eléctricos y/o perturbaciones eléctricas” deberá ser interpretada como una falla o rotura eléctrica accidental, imprevista y súbita, en aquellos equipos y/o dispositivos, que resultaren afectados total o parcialmente por arcos voltaicos y/o cortocircuitos y/u otros fenómenos eléctricos,  causados por hechos imprevisibles, accidentales y que hagan necesario, reparaciones y/o reemplazos, de piezas y/o partes y/o componentes.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Esta extensión de cobertura amparará los daños materiales o pérdidas causados directamente por perturbaciones de cualquier naturaleza en la energía eléctrica provista por la distribuidora, entre las que pueden considerarse los cortocircuitos, las variaciones de tensión y la distorsión paliarmónica.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Cabe señalar que esta póliza se extiende a amparar daños indirectos provocados por caída de rayos y/o descargas atmosféricas siempre que las mismas hayan acontecido en terrenos o áreas circundantes y/o aledañas y siempre que no pueda considerase que el rayo y/o descarga atmosférica haya ocurrido en las propias inmediaciones.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Esta extensión no cubrirá aquellos daños y/o perturbaciones eléctricas mientras que los equipos o dispositivos eléctricos y/o electromecánicos, estén sometidos a ensayos, de recepción o de mantenimiento, de cualquier naturaleza, entre los cuales pueden considerarse las pruebas de aislamiento, las pruebas de impulso y/o de sobretensión y/o cualquier proceso de secado eléctrico interno.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>Asimismo, quedan excluidos aquellos daños y/o perturbaciones eléctricas a consecuencia de heladas y/o congelamiento tanto en el interior como en el exterior del bien asegurado instalado en cualquier sitio dentro de la propiedad asegurada.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Resultará expresamente excluido de la presente aquellos daños o pérdidas materiales causados por: el desgaste paulatino y/o deterioro gradual, como consecuencia del uso o del funcionamiento normal; vicio propio; erosión; oxidación; corrosión; herrumbre; incrustaciones; sobrecargas de origen no eléctrico, esporádicas o no; utilización de las instalaciones o equipos en trabajos para los que no fueran construidos, instalados o diseñados. Se excluye también, los perjuicios por la paralización o deficiencias en el funcionamiento y/o pérdidas y/o daños causados por o que sean consecuencia de, errores por los cuales fueran responsables contractualmente o no, el fabricante y/o vendedor del bien asegurado. Asimismo, no se ampararán paralizaciones o deficiencias en el funcionamiento de la instalación a consecuencia de errores de montaje o de errores de diseño.</w:t>
      </w:r>
    </w:p>
    <w:p>
      <w:pPr>
        <w:pStyle w:val="TextBody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outlineLvl w:val="0"/>
    </w:pPr>
    <w:rPr>
      <w:rFonts w:ascii="Arial;Arial" w:hAnsi="Arial;Arial" w:cs="Arial;Arial"/>
      <w:lang w:val="es-ES"/>
    </w:rPr>
  </w:style>
  <w:style w:type="paragraph" w:styleId="Heading2">
    <w:name w:val="Heading 2"/>
    <w:basedOn w:val="Normal"/>
    <w:next w:val="Normal"/>
    <w:qFormat/>
    <w:pPr>
      <w:keepNext w:val="true"/>
      <w:widowControl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ES_tradnl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/>
      <w:jc w:val="both"/>
    </w:pPr>
    <w:rPr>
      <w:rFonts w:ascii="Arial;Arial" w:hAnsi="Arial;Arial" w:cs="Arial;Arial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2007-03-25T20:50:00Z</dcterms:created>
  <dc:creator>deneira</dc:creator>
  <dc:description/>
  <cp:keywords/>
  <dc:language>en-US</dc:language>
  <cp:lastModifiedBy>Jaime Alejandro Beltran</cp:lastModifiedBy>
  <cp:lastPrinted>2007-03-26T12:21:00Z</cp:lastPrinted>
  <dcterms:modified xsi:type="dcterms:W3CDTF">2015-06-02T18:55:00Z</dcterms:modified>
  <cp:revision>6</cp:revision>
  <dc:subject/>
  <dc:title>“Latina”</dc:title>
</cp:coreProperties>
</file>