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/>
      </w:pPr>
      <w:r>
        <w:rPr>
          <w:rFonts w:cs="Trebuchet MS;Trebuchet MS" w:ascii="Trebuchet MS;Trebuchet MS" w:hAnsi="Trebuchet MS;Trebuchet MS"/>
          <w:b/>
          <w:sz w:val="18"/>
          <w:szCs w:val="18"/>
          <w:lang w:val="es-ES_tradnl"/>
        </w:rPr>
        <w:tab/>
        <w:t>CLAUSULA DE DAÑOS POR ENTRADA DE AGUA DE LAGOS Y LODOS</w:t>
      </w:r>
    </w:p>
    <w:p>
      <w:pPr>
        <w:pStyle w:val="Normal"/>
        <w:ind w:left="708" w:hanging="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06 001-2107</w:t>
      </w:r>
    </w:p>
    <w:p>
      <w:pPr>
        <w:pStyle w:val="Normal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ab/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En consideración a la prima adicional pagada por el Asegurado, esta Póliza se extiende a cubrir directamente el desborde de lagos  y el lodo o limo que se pueda producir por la fuerza del arrastre.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center" w:pos="4680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ab/>
      </w:r>
      <w:r>
        <w:rPr>
          <w:rFonts w:cs="Trebuchet MS;Trebuchet MS" w:ascii="Trebuchet MS;Trebuchet MS" w:hAnsi="Trebuchet MS;Trebuchet MS"/>
          <w:b/>
          <w:sz w:val="18"/>
          <w:szCs w:val="18"/>
          <w:u w:val="single"/>
          <w:lang w:val="es-ES_tradnl"/>
        </w:rPr>
        <w:t>EXCLUSIONES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El seguro otorgado por esta Cláusula no cubre: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a)</w:t>
        <w:tab/>
        <w:t>pérdidas o daños producidos por moho y/u hongos;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b)</w:t>
        <w:tab/>
        <w:t>huracán, tempestad, ventarrón y granizo;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c)</w:t>
        <w:tab/>
        <w:t>Bienes de campo abierto;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d)</w:t>
        <w:tab/>
        <w:t>daños o pérdidas indirectas o consecuentes de cualquier tipo;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e)</w:t>
        <w:tab/>
        <w:t>entrada del agua, lodo o limo en los edificios, que provenga de lluvia, sea o no consecuencia de la obstrucción o insuficiencia de colectores, desagües o similares;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-1440" w:leader="none"/>
        </w:tabs>
        <w:ind w:left="720" w:hanging="720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f)</w:t>
        <w:tab/>
        <w:t>cultivos, plantaciones, cosechas en pie, carreteras, pistas, veredas, obras de alcantarillado y otras obras de ingeniería o similares.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ES_tradnl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_tradnl"/>
        </w:rPr>
        <w:t>Queda entendido y convenido que, todas las Condiciones de esta Póliza (a excepción de lo expresamente variadas por la presente Cláusula), que se apliquen a pérdida o daños causados por Incendio, serán igualmente aplicables a pérdida o daños causados en forma directa por las contingencias arriba especificadas.</w:t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  <w:t>NACIONAL SEGUROS PATRIMONIALES Y FIANZAS S.A.”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</w:r>
    </w:p>
    <w:p>
      <w:pPr>
        <w:pStyle w:val="Normal"/>
        <w:tabs>
          <w:tab w:val="clear" w:pos="708"/>
          <w:tab w:val="left" w:pos="2985" w:leader="none"/>
        </w:tabs>
        <w:rPr>
          <w:rFonts w:ascii="Trebuchet MS;Trebuchet MS" w:hAnsi="Trebuchet MS;Trebuchet MS" w:cs="Trebuchet MS;Trebuchet MS"/>
          <w:sz w:val="18"/>
          <w:szCs w:val="18"/>
          <w:lang w:val="es-ES"/>
        </w:rPr>
      </w:pPr>
      <w:r>
        <w:rPr>
          <w:rFonts w:cs="Trebuchet MS;Trebuchet MS" w:ascii="Trebuchet MS;Trebuchet MS" w:hAnsi="Trebuchet MS;Trebuchet MS"/>
          <w:sz w:val="18"/>
          <w:szCs w:val="18"/>
          <w:lang w:val="es-ES"/>
        </w:rPr>
        <w:tab/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Arial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Arial;Arial" w:hAnsi="Arial;Arial" w:cs="Arial;Arial"/>
      <w:b/>
      <w:bCs/>
      <w:sz w:val="18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center" w:pos="4680" w:leader="none"/>
      </w:tabs>
      <w:jc w:val="center"/>
      <w:outlineLvl w:val="1"/>
    </w:pPr>
    <w:rPr>
      <w:rFonts w:ascii="Arial;Arial" w:hAnsi="Arial;Arial" w:cs="Arial;Arial"/>
      <w:b/>
      <w:sz w:val="18"/>
      <w:lang w:val="es-ES_tradnl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ITULO">
    <w:name w:val="TITULO"/>
    <w:basedOn w:val="Normal"/>
    <w:qFormat/>
    <w:pPr>
      <w:widowControl/>
    </w:pPr>
    <w:rPr>
      <w:rFonts w:ascii="Arial (W1)" w:hAnsi="Arial (W1)" w:cs="Arial (W1)"/>
      <w:b/>
      <w:i/>
      <w:sz w:val="20"/>
      <w:u w:val="singl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2007-03-25T20:56:00Z</dcterms:created>
  <dc:creator>deneira</dc:creator>
  <dc:description/>
  <cp:keywords/>
  <dc:language>en-US</dc:language>
  <cp:lastModifiedBy>Jaime Alejandro Beltran</cp:lastModifiedBy>
  <dcterms:modified xsi:type="dcterms:W3CDTF">2015-06-02T19:39:00Z</dcterms:modified>
  <cp:revision>5</cp:revision>
  <dc:subject/>
  <dc:title>“Latina”</dc:title>
</cp:coreProperties>
</file>