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8"/>
          <w:tab w:val="right" w:pos="9360" w:leader="none"/>
        </w:tabs>
        <w:suppressAutoHyphens w:val="true"/>
        <w:jc w:val="center"/>
        <w:rPr>
          <w:rFonts w:ascii="Trebuchet MS" w:hAnsi="Trebuchet MS" w:cs="Arial"/>
          <w:b/>
          <w:b/>
          <w:sz w:val="18"/>
          <w:szCs w:val="18"/>
          <w:lang w:val="es-BO"/>
        </w:rPr>
      </w:pPr>
      <w:r>
        <w:rPr>
          <w:rFonts w:cs="Arial" w:ascii="Trebuchet MS" w:hAnsi="Trebuchet MS"/>
          <w:b/>
          <w:sz w:val="18"/>
          <w:szCs w:val="18"/>
          <w:lang w:val="es-BO"/>
        </w:rPr>
        <w:t>PÓLIZA DE SEGURO DE TODO RIESGO DE DAÑOS A LA PROPIEDAD</w:t>
      </w:r>
    </w:p>
    <w:p>
      <w:pPr>
        <w:pStyle w:val="Normal"/>
        <w:ind w:left="2800" w:hanging="0"/>
        <w:rPr>
          <w:rFonts w:ascii="Trebuchet MS" w:hAnsi="Trebuchet MS" w:cs="Arial"/>
          <w:b/>
          <w:b/>
          <w:spacing w:val="-2"/>
          <w:sz w:val="18"/>
          <w:szCs w:val="18"/>
          <w:lang w:val="es-BO"/>
        </w:rPr>
      </w:pPr>
      <w:r>
        <w:rPr>
          <w:rFonts w:cs="Arial" w:ascii="Trebuchet MS" w:hAnsi="Trebuchet MS"/>
          <w:b/>
          <w:spacing w:val="-2"/>
          <w:sz w:val="18"/>
          <w:szCs w:val="18"/>
          <w:lang w:val="es-BO"/>
        </w:rPr>
        <w:t>Código Asignado 115-910101-2007 06 001</w:t>
      </w:r>
    </w:p>
    <w:p>
      <w:pPr>
        <w:pStyle w:val="Normal"/>
        <w:ind w:left="640" w:firstLine="80"/>
        <w:rPr>
          <w:rFonts w:ascii="Trebuchet MS" w:hAnsi="Trebuchet MS"/>
          <w:b/>
          <w:b/>
          <w:spacing w:val="-2"/>
          <w:sz w:val="18"/>
          <w:szCs w:val="18"/>
          <w:lang w:val="es-BO"/>
        </w:rPr>
      </w:pPr>
      <w:r>
        <w:rPr>
          <w:rFonts w:eastAsia="Trebuchet MS" w:cs="Trebuchet MS" w:ascii="Trebuchet MS" w:hAnsi="Trebuchet MS"/>
          <w:b/>
          <w:spacing w:val="-2"/>
          <w:sz w:val="18"/>
          <w:szCs w:val="18"/>
          <w:lang w:val="es-BO"/>
        </w:rPr>
        <w:t xml:space="preserve">         </w:t>
      </w:r>
      <w:r>
        <w:rPr>
          <w:rFonts w:cs="Arial" w:ascii="Trebuchet MS" w:hAnsi="Trebuchet MS"/>
          <w:b/>
          <w:spacing w:val="-2"/>
          <w:sz w:val="18"/>
          <w:szCs w:val="18"/>
          <w:lang w:val="es-BO"/>
        </w:rPr>
        <w:t>RESOLUCIÓN ADMINISTRATIVA /SPVS/IS/No. 577 de fecha 18 de Julio de 2007</w:t>
      </w:r>
    </w:p>
    <w:p>
      <w:pPr>
        <w:pStyle w:val="Normal"/>
        <w:ind w:left="640" w:firstLine="80"/>
        <w:rPr>
          <w:rFonts w:ascii="Trebuchet MS" w:hAnsi="Trebuchet MS" w:cs="Arial"/>
          <w:b/>
          <w:b/>
          <w:spacing w:val="-2"/>
          <w:sz w:val="18"/>
          <w:szCs w:val="18"/>
          <w:lang w:val="es-BO"/>
        </w:rPr>
      </w:pPr>
      <w:r>
        <w:rPr>
          <w:rFonts w:cs="Arial" w:ascii="Trebuchet MS" w:hAnsi="Trebuchet MS"/>
          <w:b/>
          <w:spacing w:val="-2"/>
          <w:sz w:val="18"/>
          <w:szCs w:val="18"/>
          <w:lang w:val="es-BO"/>
        </w:rPr>
      </w:r>
    </w:p>
    <w:p>
      <w:pPr>
        <w:pStyle w:val="Normal"/>
        <w:ind w:left="640" w:firstLine="80"/>
        <w:rPr>
          <w:rFonts w:ascii="Trebuchet MS" w:hAnsi="Trebuchet MS" w:cs="Arial"/>
          <w:b/>
          <w:b/>
          <w:spacing w:val="-2"/>
          <w:sz w:val="18"/>
          <w:szCs w:val="18"/>
          <w:lang w:val="es-BO"/>
        </w:rPr>
      </w:pPr>
      <w:r>
        <w:rPr>
          <w:rFonts w:cs="Arial" w:ascii="Trebuchet MS" w:hAnsi="Trebuchet MS"/>
          <w:b/>
          <w:spacing w:val="-2"/>
          <w:sz w:val="18"/>
          <w:szCs w:val="18"/>
          <w:lang w:val="es-BO"/>
        </w:rPr>
      </w:r>
    </w:p>
    <w:p>
      <w:pPr>
        <w:pStyle w:val="Heading"/>
        <w:rPr>
          <w:rFonts w:ascii="Trebuchet MS" w:hAnsi="Trebuchet MS" w:cs="Trebuchet MS"/>
          <w:sz w:val="18"/>
          <w:szCs w:val="18"/>
        </w:rPr>
      </w:pPr>
      <w:r>
        <w:rPr>
          <w:rFonts w:cs="Trebuchet MS" w:ascii="Trebuchet MS" w:hAnsi="Trebuchet MS"/>
          <w:sz w:val="18"/>
          <w:szCs w:val="18"/>
        </w:rPr>
        <w:t>CLAUSULA DE EXPLOSION DE HORNOS</w:t>
      </w:r>
    </w:p>
    <w:p>
      <w:pPr>
        <w:pStyle w:val="Normal"/>
        <w:ind w:left="708" w:hanging="0"/>
        <w:jc w:val="center"/>
        <w:rPr>
          <w:rFonts w:ascii="Trebuchet MS" w:hAnsi="Trebuchet MS" w:cs="Arial"/>
          <w:b/>
          <w:b/>
          <w:spacing w:val="-2"/>
          <w:sz w:val="18"/>
          <w:szCs w:val="18"/>
          <w:lang w:val="es-BO"/>
        </w:rPr>
      </w:pPr>
      <w:r>
        <w:rPr>
          <w:rFonts w:cs="Arial" w:ascii="Trebuchet MS" w:hAnsi="Trebuchet MS"/>
          <w:b/>
          <w:spacing w:val="-2"/>
          <w:sz w:val="18"/>
          <w:szCs w:val="18"/>
          <w:lang w:val="es-BO"/>
        </w:rPr>
        <w:t>Código Asignado 115-910101-2007 06 001-2083</w:t>
      </w:r>
    </w:p>
    <w:p>
      <w:pPr>
        <w:pStyle w:val="Normal"/>
        <w:rPr>
          <w:rFonts w:ascii="Trebuchet MS" w:hAnsi="Trebuchet MS"/>
          <w:b/>
          <w:b/>
          <w:spacing w:val="-2"/>
          <w:sz w:val="18"/>
          <w:szCs w:val="18"/>
          <w:lang w:val="es-BO"/>
        </w:rPr>
      </w:pPr>
      <w:r>
        <w:rPr>
          <w:rFonts w:eastAsia="Trebuchet MS" w:cs="Trebuchet MS" w:ascii="Trebuchet MS" w:hAnsi="Trebuchet MS"/>
          <w:b/>
          <w:spacing w:val="-2"/>
          <w:sz w:val="18"/>
          <w:szCs w:val="18"/>
          <w:lang w:val="es-BO"/>
        </w:rPr>
        <w:t xml:space="preserve">                  </w:t>
      </w:r>
      <w:r>
        <w:rPr>
          <w:rFonts w:cs="Arial" w:ascii="Trebuchet MS" w:hAnsi="Trebuchet MS"/>
          <w:b/>
          <w:spacing w:val="-2"/>
          <w:sz w:val="18"/>
          <w:szCs w:val="18"/>
          <w:lang w:val="es-BO"/>
        </w:rPr>
        <w:t>RESOLUCIÓN ADMINISTRATIVA /SPVS/IS/No. 577-2007 de fecha 18 de julio de 2007</w:t>
      </w:r>
    </w:p>
    <w:p>
      <w:pPr>
        <w:pStyle w:val="Heading"/>
        <w:rPr>
          <w:rFonts w:ascii="Trebuchet MS" w:hAnsi="Trebuchet MS" w:cs="Trebuchet MS"/>
          <w:b w:val="false"/>
          <w:b w:val="false"/>
          <w:spacing w:val="-2"/>
          <w:sz w:val="18"/>
          <w:szCs w:val="18"/>
          <w:lang w:val="es-BO"/>
        </w:rPr>
      </w:pPr>
      <w:r>
        <w:rPr>
          <w:rFonts w:cs="Trebuchet MS" w:ascii="Trebuchet MS" w:hAnsi="Trebuchet MS"/>
          <w:b w:val="false"/>
          <w:spacing w:val="-2"/>
          <w:sz w:val="18"/>
          <w:szCs w:val="18"/>
          <w:lang w:val="es-BO"/>
        </w:rPr>
      </w:r>
    </w:p>
    <w:p>
      <w:pPr>
        <w:pStyle w:val="Normal"/>
        <w:jc w:val="center"/>
        <w:rPr>
          <w:rFonts w:ascii="Trebuchet MS" w:hAnsi="Trebuchet MS" w:cs="Trebuchet MS"/>
          <w:b/>
          <w:b/>
          <w:sz w:val="18"/>
          <w:szCs w:val="18"/>
          <w:lang w:val="es-MX"/>
        </w:rPr>
      </w:pPr>
      <w:r>
        <w:rPr>
          <w:rFonts w:cs="Trebuchet MS" w:ascii="Trebuchet MS" w:hAnsi="Trebuchet MS"/>
          <w:b/>
          <w:sz w:val="18"/>
          <w:szCs w:val="18"/>
          <w:lang w:val="es-MX"/>
        </w:rPr>
      </w:r>
    </w:p>
    <w:p>
      <w:pPr>
        <w:pStyle w:val="TextBody"/>
        <w:rPr>
          <w:rFonts w:ascii="Trebuchet MS" w:hAnsi="Trebuchet MS" w:cs="Trebuchet MS"/>
          <w:sz w:val="18"/>
          <w:szCs w:val="18"/>
        </w:rPr>
      </w:pPr>
      <w:r>
        <w:rPr>
          <w:rFonts w:cs="Trebuchet MS" w:ascii="Trebuchet MS" w:hAnsi="Trebuchet MS"/>
          <w:sz w:val="18"/>
          <w:szCs w:val="18"/>
        </w:rPr>
        <w:t>Queda entendido y convenido que, la cobertura otorgada por esta póliza, queda limitada a cubrir los daños y/o pérdidas resultantes de explosión (según se define), ocurridos durante la vigencia del presente seguro a los Hornos descritos en las Condiciones Particulares de la póliza, mientras se encuentran instalados y listos para funcionar en el local designado en la misma.</w:t>
      </w:r>
    </w:p>
    <w:p>
      <w:pPr>
        <w:pStyle w:val="TextBody"/>
        <w:rPr>
          <w:rFonts w:ascii="Trebuchet MS" w:hAnsi="Trebuchet MS" w:cs="Trebuchet MS"/>
          <w:sz w:val="18"/>
          <w:szCs w:val="18"/>
        </w:rPr>
      </w:pPr>
      <w:r>
        <w:rPr>
          <w:rFonts w:cs="Trebuchet MS" w:ascii="Trebuchet MS" w:hAnsi="Trebuchet MS"/>
          <w:sz w:val="18"/>
          <w:szCs w:val="18"/>
        </w:rPr>
      </w:r>
    </w:p>
    <w:p>
      <w:pPr>
        <w:pStyle w:val="TextBody"/>
        <w:rPr>
          <w:rFonts w:ascii="Trebuchet MS" w:hAnsi="Trebuchet MS" w:cs="Trebuchet MS"/>
          <w:sz w:val="18"/>
          <w:szCs w:val="18"/>
        </w:rPr>
      </w:pPr>
      <w:r>
        <w:rPr>
          <w:rFonts w:cs="Trebuchet MS" w:ascii="Trebuchet MS" w:hAnsi="Trebuchet MS"/>
          <w:sz w:val="18"/>
          <w:szCs w:val="18"/>
        </w:rPr>
        <w:t>La responsabilidad de la Compañía respecto a los bienes asegurados, no excederá su valor comercial al contado al momento del siniestro. En caso de procederse a la reparación o reposición de los objetos destruidos o averiados, la Compañía no estará obligada a gastar una mayor cantidad de la que hubiera gastado para reparar o reponer dichos objetos en el mismo estado que se encontraban antes de la ocurrencia del siniestro. El valor comercial se establecerá aplicando al valor de reposición las deducciones correspondientes por depreciación, causada esta por cualquier circunstancia.</w:t>
      </w:r>
    </w:p>
    <w:p>
      <w:pPr>
        <w:pStyle w:val="TextBody"/>
        <w:rPr>
          <w:rFonts w:ascii="Trebuchet MS" w:hAnsi="Trebuchet MS" w:cs="Trebuchet MS"/>
          <w:sz w:val="18"/>
          <w:szCs w:val="18"/>
        </w:rPr>
      </w:pPr>
      <w:r>
        <w:rPr>
          <w:rFonts w:cs="Trebuchet MS" w:ascii="Trebuchet MS" w:hAnsi="Trebuchet MS"/>
          <w:sz w:val="18"/>
          <w:szCs w:val="18"/>
        </w:rPr>
      </w:r>
    </w:p>
    <w:p>
      <w:pPr>
        <w:pStyle w:val="TextBody"/>
        <w:rPr>
          <w:rFonts w:ascii="Trebuchet MS" w:hAnsi="Trebuchet MS" w:cs="Trebuchet MS"/>
          <w:sz w:val="18"/>
          <w:szCs w:val="18"/>
        </w:rPr>
      </w:pPr>
      <w:r>
        <w:rPr>
          <w:rFonts w:cs="Trebuchet MS" w:ascii="Trebuchet MS" w:hAnsi="Trebuchet MS"/>
          <w:sz w:val="18"/>
          <w:szCs w:val="18"/>
        </w:rPr>
        <w:t>Quedan excluidas las pérdidas y/o daños causados por:</w:t>
      </w:r>
    </w:p>
    <w:p>
      <w:pPr>
        <w:pStyle w:val="TextBody"/>
        <w:rPr>
          <w:rFonts w:ascii="Trebuchet MS" w:hAnsi="Trebuchet MS" w:cs="Trebuchet MS"/>
          <w:sz w:val="18"/>
          <w:szCs w:val="18"/>
        </w:rPr>
      </w:pPr>
      <w:r>
        <w:rPr>
          <w:rFonts w:cs="Trebuchet MS" w:ascii="Trebuchet MS" w:hAnsi="Trebuchet MS"/>
          <w:sz w:val="18"/>
          <w:szCs w:val="18"/>
        </w:rPr>
      </w:r>
    </w:p>
    <w:p>
      <w:pPr>
        <w:pStyle w:val="TextBody"/>
        <w:numPr>
          <w:ilvl w:val="0"/>
          <w:numId w:val="1"/>
        </w:numPr>
        <w:rPr>
          <w:rFonts w:ascii="Trebuchet MS" w:hAnsi="Trebuchet MS" w:cs="Trebuchet MS"/>
          <w:sz w:val="18"/>
          <w:szCs w:val="18"/>
        </w:rPr>
      </w:pPr>
      <w:r>
        <w:rPr>
          <w:rFonts w:cs="Trebuchet MS" w:ascii="Trebuchet MS" w:hAnsi="Trebuchet MS"/>
          <w:sz w:val="18"/>
          <w:szCs w:val="18"/>
        </w:rPr>
        <w:t>Incendio, aunque este sea causado por explosión, así como por el uso de agua u otros medios para apagar el Incendio.</w:t>
      </w:r>
    </w:p>
    <w:p>
      <w:pPr>
        <w:pStyle w:val="TextBody"/>
        <w:numPr>
          <w:ilvl w:val="0"/>
          <w:numId w:val="1"/>
        </w:numPr>
        <w:rPr>
          <w:rFonts w:ascii="Trebuchet MS" w:hAnsi="Trebuchet MS" w:cs="Trebuchet MS"/>
          <w:sz w:val="18"/>
          <w:szCs w:val="18"/>
        </w:rPr>
      </w:pPr>
      <w:r>
        <w:rPr>
          <w:rFonts w:cs="Trebuchet MS" w:ascii="Trebuchet MS" w:hAnsi="Trebuchet MS"/>
          <w:sz w:val="18"/>
          <w:szCs w:val="18"/>
        </w:rPr>
        <w:t>Explosión ocurrida a consecuencia directa o indirecta de Incendio o por el uso de agua u otros medios para apagar el Incendio.</w:t>
      </w:r>
    </w:p>
    <w:p>
      <w:pPr>
        <w:pStyle w:val="TextBody"/>
        <w:numPr>
          <w:ilvl w:val="0"/>
          <w:numId w:val="1"/>
        </w:numPr>
        <w:rPr>
          <w:rFonts w:ascii="Trebuchet MS" w:hAnsi="Trebuchet MS" w:cs="Trebuchet MS"/>
          <w:sz w:val="18"/>
          <w:szCs w:val="18"/>
        </w:rPr>
      </w:pPr>
      <w:r>
        <w:rPr>
          <w:rFonts w:cs="Trebuchet MS" w:ascii="Trebuchet MS" w:hAnsi="Trebuchet MS"/>
          <w:sz w:val="18"/>
          <w:szCs w:val="18"/>
        </w:rPr>
        <w:t>Explosión de cualquiera de los objetos asegurados mientras los mismos sean motivo de alguna prueba histórica.</w:t>
      </w:r>
    </w:p>
    <w:p>
      <w:pPr>
        <w:pStyle w:val="TextBody"/>
        <w:rPr>
          <w:rFonts w:ascii="Trebuchet MS" w:hAnsi="Trebuchet MS" w:cs="Trebuchet MS"/>
          <w:sz w:val="18"/>
          <w:szCs w:val="18"/>
        </w:rPr>
      </w:pPr>
      <w:r>
        <w:rPr>
          <w:rFonts w:cs="Trebuchet MS" w:ascii="Trebuchet MS" w:hAnsi="Trebuchet MS"/>
          <w:sz w:val="18"/>
          <w:szCs w:val="18"/>
        </w:rPr>
      </w:r>
    </w:p>
    <w:p>
      <w:pPr>
        <w:pStyle w:val="TextBody"/>
        <w:rPr>
          <w:rFonts w:ascii="Trebuchet MS" w:hAnsi="Trebuchet MS" w:cs="Trebuchet MS"/>
          <w:sz w:val="18"/>
          <w:szCs w:val="18"/>
        </w:rPr>
      </w:pPr>
      <w:r>
        <w:rPr>
          <w:rFonts w:cs="Trebuchet MS" w:ascii="Trebuchet MS" w:hAnsi="Trebuchet MS"/>
          <w:sz w:val="18"/>
          <w:szCs w:val="18"/>
          <w:u w:val="single"/>
        </w:rPr>
        <w:t>DEFINICION DE EXPLOSION</w:t>
      </w:r>
    </w:p>
    <w:p>
      <w:pPr>
        <w:pStyle w:val="TextBody"/>
        <w:rPr>
          <w:rFonts w:ascii="Trebuchet MS" w:hAnsi="Trebuchet MS" w:cs="Trebuchet MS"/>
          <w:sz w:val="18"/>
          <w:szCs w:val="18"/>
        </w:rPr>
      </w:pPr>
      <w:r>
        <w:rPr>
          <w:rFonts w:cs="Trebuchet MS" w:ascii="Trebuchet MS" w:hAnsi="Trebuchet MS"/>
          <w:sz w:val="18"/>
          <w:szCs w:val="18"/>
        </w:rPr>
      </w:r>
    </w:p>
    <w:p>
      <w:pPr>
        <w:pStyle w:val="TextBody"/>
        <w:rPr>
          <w:rFonts w:ascii="Trebuchet MS" w:hAnsi="Trebuchet MS" w:cs="Trebuchet MS"/>
          <w:sz w:val="18"/>
          <w:szCs w:val="18"/>
        </w:rPr>
      </w:pPr>
      <w:r>
        <w:rPr>
          <w:rFonts w:cs="Trebuchet MS" w:ascii="Trebuchet MS" w:hAnsi="Trebuchet MS"/>
          <w:sz w:val="18"/>
          <w:szCs w:val="18"/>
        </w:rPr>
        <w:t>Por explosión  se entenderá:</w:t>
      </w:r>
    </w:p>
    <w:p>
      <w:pPr>
        <w:pStyle w:val="TextBody"/>
        <w:rPr>
          <w:rFonts w:ascii="Trebuchet MS" w:hAnsi="Trebuchet MS" w:cs="Trebuchet MS"/>
          <w:sz w:val="18"/>
          <w:szCs w:val="18"/>
        </w:rPr>
      </w:pPr>
      <w:r>
        <w:rPr>
          <w:rFonts w:cs="Trebuchet MS" w:ascii="Trebuchet MS" w:hAnsi="Trebuchet MS"/>
          <w:sz w:val="18"/>
          <w:szCs w:val="18"/>
        </w:rPr>
      </w:r>
    </w:p>
    <w:p>
      <w:pPr>
        <w:pStyle w:val="TextBody"/>
        <w:numPr>
          <w:ilvl w:val="0"/>
          <w:numId w:val="2"/>
        </w:numPr>
        <w:rPr>
          <w:rFonts w:ascii="Trebuchet MS" w:hAnsi="Trebuchet MS" w:cs="Trebuchet MS"/>
          <w:sz w:val="18"/>
          <w:szCs w:val="18"/>
        </w:rPr>
      </w:pPr>
      <w:r>
        <w:rPr>
          <w:rFonts w:cs="Trebuchet MS" w:ascii="Trebuchet MS" w:hAnsi="Trebuchet MS"/>
          <w:sz w:val="18"/>
          <w:szCs w:val="18"/>
        </w:rPr>
        <w:t>la ruptura repentina y violenta o desgarramiento del objeto asegurado por el calentamiento, pero no comprenderá rajadura ni tampoco:</w:t>
      </w:r>
    </w:p>
    <w:p>
      <w:pPr>
        <w:pStyle w:val="TextBody"/>
        <w:ind w:left="705" w:hanging="0"/>
        <w:rPr>
          <w:rFonts w:ascii="Trebuchet MS" w:hAnsi="Trebuchet MS" w:cs="Trebuchet MS"/>
          <w:sz w:val="18"/>
          <w:szCs w:val="18"/>
        </w:rPr>
      </w:pPr>
      <w:r>
        <w:rPr>
          <w:rFonts w:cs="Trebuchet MS" w:ascii="Trebuchet MS" w:hAnsi="Trebuchet MS"/>
          <w:sz w:val="18"/>
          <w:szCs w:val="18"/>
        </w:rPr>
      </w:r>
    </w:p>
    <w:p>
      <w:pPr>
        <w:pStyle w:val="TextBody"/>
        <w:numPr>
          <w:ilvl w:val="0"/>
          <w:numId w:val="3"/>
        </w:numPr>
        <w:rPr>
          <w:rFonts w:ascii="Trebuchet MS" w:hAnsi="Trebuchet MS" w:cs="Trebuchet MS"/>
          <w:sz w:val="18"/>
          <w:szCs w:val="18"/>
        </w:rPr>
      </w:pPr>
      <w:r>
        <w:rPr>
          <w:rFonts w:cs="Trebuchet MS" w:ascii="Trebuchet MS" w:hAnsi="Trebuchet MS"/>
          <w:sz w:val="18"/>
          <w:szCs w:val="18"/>
        </w:rPr>
        <w:t>Disminución, deterioro, corrosión o erosión del material.</w:t>
      </w:r>
    </w:p>
    <w:p>
      <w:pPr>
        <w:pStyle w:val="TextBody"/>
        <w:numPr>
          <w:ilvl w:val="0"/>
          <w:numId w:val="3"/>
        </w:numPr>
        <w:rPr>
          <w:rFonts w:ascii="Trebuchet MS" w:hAnsi="Trebuchet MS" w:cs="Trebuchet MS"/>
          <w:sz w:val="18"/>
          <w:szCs w:val="18"/>
        </w:rPr>
      </w:pPr>
      <w:r>
        <w:rPr>
          <w:rFonts w:cs="Trebuchet MS" w:ascii="Trebuchet MS" w:hAnsi="Trebuchet MS"/>
          <w:sz w:val="18"/>
          <w:szCs w:val="18"/>
        </w:rPr>
        <w:t>Desgaste.</w:t>
      </w:r>
    </w:p>
    <w:p>
      <w:pPr>
        <w:pStyle w:val="TextBody"/>
        <w:numPr>
          <w:ilvl w:val="0"/>
          <w:numId w:val="3"/>
        </w:numPr>
        <w:rPr>
          <w:rFonts w:ascii="Trebuchet MS" w:hAnsi="Trebuchet MS" w:cs="Trebuchet MS"/>
          <w:sz w:val="18"/>
          <w:szCs w:val="18"/>
        </w:rPr>
      </w:pPr>
      <w:r>
        <w:rPr>
          <w:rFonts w:cs="Trebuchet MS" w:ascii="Trebuchet MS" w:hAnsi="Trebuchet MS"/>
          <w:sz w:val="18"/>
          <w:szCs w:val="18"/>
        </w:rPr>
        <w:t>Fugas en cualquier válvula, unión o accesorio.</w:t>
      </w:r>
    </w:p>
    <w:p>
      <w:pPr>
        <w:pStyle w:val="TextBody"/>
        <w:numPr>
          <w:ilvl w:val="0"/>
          <w:numId w:val="3"/>
        </w:numPr>
        <w:rPr>
          <w:rFonts w:ascii="Trebuchet MS" w:hAnsi="Trebuchet MS" w:cs="Trebuchet MS"/>
          <w:sz w:val="18"/>
          <w:szCs w:val="18"/>
        </w:rPr>
      </w:pPr>
      <w:r>
        <w:rPr>
          <w:rFonts w:cs="Trebuchet MS" w:ascii="Trebuchet MS" w:hAnsi="Trebuchet MS"/>
          <w:sz w:val="18"/>
          <w:szCs w:val="18"/>
        </w:rPr>
        <w:t>El funcionamiento de cualquier dispositivo de seguridad.</w:t>
      </w:r>
    </w:p>
    <w:p>
      <w:pPr>
        <w:pStyle w:val="TextBody"/>
        <w:ind w:left="705" w:hanging="0"/>
        <w:rPr>
          <w:rFonts w:ascii="Trebuchet MS" w:hAnsi="Trebuchet MS" w:cs="Trebuchet MS"/>
          <w:sz w:val="18"/>
          <w:szCs w:val="18"/>
        </w:rPr>
      </w:pPr>
      <w:r>
        <w:rPr>
          <w:rFonts w:cs="Trebuchet MS" w:ascii="Trebuchet MS" w:hAnsi="Trebuchet MS"/>
          <w:sz w:val="18"/>
          <w:szCs w:val="18"/>
        </w:rPr>
      </w:r>
    </w:p>
    <w:p>
      <w:pPr>
        <w:pStyle w:val="TextBody"/>
        <w:numPr>
          <w:ilvl w:val="0"/>
          <w:numId w:val="2"/>
        </w:numPr>
        <w:rPr>
          <w:rFonts w:ascii="Trebuchet MS" w:hAnsi="Trebuchet MS" w:cs="Trebuchet MS"/>
          <w:sz w:val="18"/>
          <w:szCs w:val="18"/>
        </w:rPr>
      </w:pPr>
      <w:r>
        <w:rPr>
          <w:rFonts w:cs="Trebuchet MS" w:ascii="Trebuchet MS" w:hAnsi="Trebuchet MS"/>
          <w:sz w:val="18"/>
          <w:szCs w:val="18"/>
        </w:rPr>
        <w:t>La repentina y accidental explosión de gases o combustible no consumido en el interior del horno.</w:t>
      </w:r>
    </w:p>
    <w:p>
      <w:pPr>
        <w:pStyle w:val="TextBody"/>
        <w:ind w:left="705" w:hanging="0"/>
        <w:rPr>
          <w:rFonts w:ascii="Trebuchet MS" w:hAnsi="Trebuchet MS" w:cs="Trebuchet MS"/>
          <w:sz w:val="18"/>
          <w:szCs w:val="18"/>
        </w:rPr>
      </w:pPr>
      <w:r>
        <w:rPr>
          <w:rFonts w:cs="Trebuchet MS" w:ascii="Trebuchet MS" w:hAnsi="Trebuchet MS"/>
          <w:sz w:val="18"/>
          <w:szCs w:val="18"/>
        </w:rPr>
      </w:r>
    </w:p>
    <w:p>
      <w:pPr>
        <w:pStyle w:val="Normal"/>
        <w:tabs>
          <w:tab w:val="clear" w:pos="708"/>
          <w:tab w:val="left" w:pos="1530" w:leader="none"/>
          <w:tab w:val="center" w:pos="4419" w:leader="none"/>
        </w:tabs>
        <w:spacing w:lineRule="auto" w:line="360"/>
        <w:rPr>
          <w:rFonts w:ascii="Trebuchet MS" w:hAnsi="Trebuchet MS" w:cs="Trebuchet MS"/>
          <w:b/>
          <w:b/>
          <w:bCs/>
          <w:sz w:val="18"/>
          <w:szCs w:val="18"/>
          <w:lang w:val="es-MX"/>
        </w:rPr>
      </w:pPr>
      <w:r>
        <w:rPr>
          <w:rFonts w:cs="Trebuchet MS" w:ascii="Trebuchet MS" w:hAnsi="Trebuchet MS"/>
          <w:b/>
          <w:bCs/>
          <w:sz w:val="18"/>
          <w:szCs w:val="18"/>
          <w:lang w:val="es-MX"/>
        </w:rPr>
        <w:tab/>
        <w:tab/>
      </w:r>
    </w:p>
    <w:p>
      <w:pPr>
        <w:pStyle w:val="Normal"/>
        <w:spacing w:lineRule="auto" w:line="360"/>
        <w:jc w:val="center"/>
        <w:rPr>
          <w:rFonts w:ascii="Trebuchet MS" w:hAnsi="Trebuchet MS" w:cs="Trebuchet MS"/>
          <w:b/>
          <w:b/>
          <w:bCs/>
          <w:sz w:val="18"/>
          <w:szCs w:val="18"/>
          <w:lang w:val="es-MX"/>
        </w:rPr>
      </w:pPr>
      <w:r>
        <w:rPr>
          <w:rFonts w:cs="Trebuchet MS" w:ascii="Trebuchet MS" w:hAnsi="Trebuchet MS"/>
          <w:b/>
          <w:bCs/>
          <w:sz w:val="18"/>
          <w:szCs w:val="18"/>
          <w:lang w:val="es-MX"/>
        </w:rPr>
        <w:t>“</w:t>
      </w:r>
      <w:r>
        <w:rPr>
          <w:rFonts w:cs="Trebuchet MS" w:ascii="Trebuchet MS" w:hAnsi="Trebuchet MS"/>
          <w:b/>
          <w:bCs/>
          <w:sz w:val="18"/>
          <w:szCs w:val="18"/>
          <w:lang w:val="es-MX"/>
        </w:rPr>
        <w:t>NACIONAL SEGUROS PATRIMONIALES Y FIANZAS S.A.”</w:t>
      </w:r>
    </w:p>
    <w:p>
      <w:pPr>
        <w:pStyle w:val="Normal"/>
        <w:tabs>
          <w:tab w:val="clear" w:pos="708"/>
          <w:tab w:val="left" w:pos="1935" w:leader="none"/>
        </w:tabs>
        <w:spacing w:lineRule="auto" w:line="360"/>
        <w:rPr>
          <w:rFonts w:ascii="Trebuchet MS" w:hAnsi="Trebuchet MS" w:cs="Trebuchet MS"/>
          <w:b/>
          <w:b/>
          <w:bCs/>
          <w:sz w:val="18"/>
          <w:szCs w:val="18"/>
          <w:lang w:val="es-MX"/>
        </w:rPr>
      </w:pPr>
      <w:r>
        <w:rPr>
          <w:rFonts w:cs="Trebuchet MS" w:ascii="Trebuchet MS" w:hAnsi="Trebuchet MS"/>
          <w:b/>
          <w:bCs/>
          <w:sz w:val="18"/>
          <w:szCs w:val="18"/>
          <w:lang w:val="es-MX"/>
        </w:rPr>
        <w:tab/>
      </w:r>
    </w:p>
    <w:p>
      <w:pPr>
        <w:pStyle w:val="Normal"/>
        <w:spacing w:lineRule="auto" w:line="360"/>
        <w:jc w:val="center"/>
        <w:rPr>
          <w:rFonts w:ascii="Trebuchet MS" w:hAnsi="Trebuchet MS" w:cs="Trebuchet MS"/>
          <w:b/>
          <w:b/>
          <w:bCs/>
          <w:sz w:val="18"/>
          <w:szCs w:val="18"/>
          <w:lang w:val="es-MX"/>
        </w:rPr>
      </w:pPr>
      <w:r>
        <w:rPr>
          <w:rFonts w:cs="Trebuchet MS" w:ascii="Trebuchet MS" w:hAnsi="Trebuchet MS"/>
          <w:b/>
          <w:bCs/>
          <w:sz w:val="18"/>
          <w:szCs w:val="18"/>
          <w:lang w:val="es-MX"/>
        </w:rPr>
      </w:r>
    </w:p>
    <w:p>
      <w:pPr>
        <w:pStyle w:val="Normal"/>
        <w:spacing w:lineRule="auto" w:line="360"/>
        <w:jc w:val="center"/>
        <w:rPr>
          <w:rFonts w:ascii="Trebuchet MS" w:hAnsi="Trebuchet MS" w:cs="Trebuchet MS"/>
          <w:b/>
          <w:b/>
          <w:bCs/>
          <w:sz w:val="18"/>
          <w:szCs w:val="18"/>
          <w:lang w:val="es-MX"/>
        </w:rPr>
      </w:pPr>
      <w:r>
        <w:rPr>
          <w:rFonts w:cs="Trebuchet MS" w:ascii="Trebuchet MS" w:hAnsi="Trebuchet MS"/>
          <w:b/>
          <w:bCs/>
          <w:sz w:val="18"/>
          <w:szCs w:val="18"/>
          <w:lang w:val="es-MX"/>
        </w:rPr>
      </w:r>
    </w:p>
    <w:p>
      <w:pPr>
        <w:pStyle w:val="Normal"/>
        <w:tabs>
          <w:tab w:val="clear" w:pos="708"/>
          <w:tab w:val="left" w:pos="3450" w:leader="none"/>
        </w:tabs>
        <w:spacing w:lineRule="auto" w:line="360"/>
        <w:rPr>
          <w:sz w:val="18"/>
          <w:szCs w:val="18"/>
        </w:rPr>
      </w:pPr>
      <w:r>
        <w:rPr>
          <w:sz w:val="18"/>
          <w:szCs w:val="18"/>
        </w:rPr>
        <w:tab/>
      </w:r>
    </w:p>
    <w:sectPr>
      <w:type w:val="nextPage"/>
      <w:pgSz w:w="12240" w:h="15840"/>
      <w:pgMar w:left="1701" w:right="1701" w:gutter="0" w:header="0" w:top="1418" w:footer="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1)">
    <w:charset w:val="00"/>
    <w:family w:val="swiss"/>
    <w:pitch w:val="variable"/>
  </w:font>
  <w:font w:name="Trebuchet MS">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705"/>
        </w:tabs>
        <w:ind w:left="705" w:hanging="705"/>
      </w:pPr>
      <w:rPr/>
    </w:lvl>
  </w:abstractNum>
  <w:abstractNum w:abstractNumId="2">
    <w:lvl w:ilvl="0">
      <w:start w:val="1"/>
      <w:numFmt w:val="decimal"/>
      <w:lvlText w:val="%1."/>
      <w:lvlJc w:val="left"/>
      <w:pPr>
        <w:tabs>
          <w:tab w:val="num" w:pos="705"/>
        </w:tabs>
        <w:ind w:left="705" w:hanging="705"/>
      </w:pPr>
      <w:rPr/>
    </w:lvl>
  </w:abstractNum>
  <w:abstractNum w:abstractNumId="3">
    <w:lvl w:ilvl="0">
      <w:start w:val="1"/>
      <w:numFmt w:val="lowerLetter"/>
      <w:lvlText w:val="%1."/>
      <w:lvlJc w:val="left"/>
      <w:pPr>
        <w:tabs>
          <w:tab w:val="num" w:pos="1410"/>
        </w:tabs>
        <w:ind w:left="1410" w:hanging="705"/>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Fuentedeprrafopredeter">
    <w:name w:val="Fuente de párrafo predeter."/>
    <w:qFormat/>
    <w:rPr/>
  </w:style>
  <w:style w:type="paragraph" w:styleId="Heading">
    <w:name w:val="Heading"/>
    <w:basedOn w:val="Normal"/>
    <w:next w:val="TextBody"/>
    <w:qFormat/>
    <w:pPr>
      <w:jc w:val="center"/>
    </w:pPr>
    <w:rPr>
      <w:b/>
      <w:sz w:val="22"/>
      <w:lang w:val="es-MX"/>
    </w:rPr>
  </w:style>
  <w:style w:type="paragraph" w:styleId="TextBody">
    <w:name w:val="Body Text"/>
    <w:basedOn w:val="Normal"/>
    <w:pPr>
      <w:jc w:val="both"/>
    </w:pPr>
    <w:rPr>
      <w:sz w:val="22"/>
      <w:lang w:val="es-MX"/>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tabs>
        <w:tab w:val="clear" w:pos="708"/>
        <w:tab w:val="center" w:pos="4252" w:leader="none"/>
        <w:tab w:val="right" w:pos="8504" w:leader="none"/>
      </w:tabs>
      <w:autoSpaceDE w:val="false"/>
    </w:pPr>
    <w:rPr/>
  </w:style>
  <w:style w:type="paragraph" w:styleId="Footer">
    <w:name w:val="Footer"/>
    <w:basedOn w:val="Normal"/>
    <w:pPr>
      <w:tabs>
        <w:tab w:val="clear" w:pos="708"/>
        <w:tab w:val="center" w:pos="4252" w:leader="none"/>
        <w:tab w:val="right" w:pos="8504" w:leader="none"/>
      </w:tabs>
    </w:pPr>
    <w:rPr/>
  </w:style>
  <w:style w:type="paragraph" w:styleId="TITULO">
    <w:name w:val="TITULO"/>
    <w:basedOn w:val="Normal"/>
    <w:qFormat/>
    <w:pPr/>
    <w:rPr>
      <w:rFonts w:ascii="Arial (W1)" w:hAnsi="Arial (W1)" w:cs="Arial (W1)"/>
      <w:b/>
      <w:i/>
      <w:u w:val="single"/>
      <w:lang w:val="es-ES_tradnl"/>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1999-07-02T17:50:00Z</dcterms:created>
  <dc:creator>Linda Cronenbold</dc:creator>
  <dc:description/>
  <cp:keywords/>
  <dc:language>en-US</dc:language>
  <cp:lastModifiedBy>Jaime Alejandro Beltran</cp:lastModifiedBy>
  <dcterms:modified xsi:type="dcterms:W3CDTF">2015-06-03T09:37:00Z</dcterms:modified>
  <cp:revision>9</cp:revision>
  <dc:subject/>
  <dc:title>CLAUSULA DE EXPLOSION DE HORNOS</dc:title>
</cp:coreProperties>
</file>