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708"/>
          <w:tab w:val="right" w:pos="9360" w:leader="none"/>
        </w:tabs>
        <w:suppressAutoHyphens w:val="true"/>
        <w:jc w:val="center"/>
        <w:rPr>
          <w:rFonts w:ascii="Trebuchet MS" w:hAnsi="Trebuchet MS" w:cs="Arial"/>
          <w:b/>
          <w:b/>
          <w:sz w:val="18"/>
          <w:szCs w:val="18"/>
          <w:lang w:val="es-BO"/>
        </w:rPr>
      </w:pPr>
      <w:r>
        <w:rPr>
          <w:rFonts w:cs="Arial" w:ascii="Trebuchet MS" w:hAnsi="Trebuchet MS"/>
          <w:b/>
          <w:sz w:val="18"/>
          <w:szCs w:val="18"/>
          <w:lang w:val="es-BO"/>
        </w:rPr>
        <w:t>PÓLIZA DE SEGURO DE TODO RIESGO DE DAÑOS A LA PROPIEDAD</w:t>
      </w:r>
    </w:p>
    <w:p>
      <w:pPr>
        <w:pStyle w:val="Normal"/>
        <w:ind w:left="2800" w:hanging="0"/>
        <w:rPr>
          <w:rFonts w:ascii="Trebuchet MS" w:hAnsi="Trebuchet MS" w:cs="Arial"/>
          <w:b/>
          <w:b/>
          <w:spacing w:val="-2"/>
          <w:sz w:val="18"/>
          <w:szCs w:val="18"/>
          <w:lang w:val="es-BO"/>
        </w:rPr>
      </w:pPr>
      <w:r>
        <w:rPr>
          <w:rFonts w:cs="Arial" w:ascii="Trebuchet MS" w:hAnsi="Trebuchet MS"/>
          <w:b/>
          <w:spacing w:val="-2"/>
          <w:sz w:val="18"/>
          <w:szCs w:val="18"/>
          <w:lang w:val="es-BO"/>
        </w:rPr>
        <w:t>Código Asignado 115-910101-2007 06 001</w:t>
      </w:r>
    </w:p>
    <w:p>
      <w:pPr>
        <w:pStyle w:val="Normal"/>
        <w:ind w:left="640" w:firstLine="80"/>
        <w:rPr>
          <w:rFonts w:ascii="Trebuchet MS" w:hAnsi="Trebuchet MS"/>
          <w:b/>
          <w:b/>
          <w:spacing w:val="-2"/>
          <w:sz w:val="18"/>
          <w:szCs w:val="18"/>
          <w:lang w:val="es-BO"/>
        </w:rPr>
      </w:pPr>
      <w:r>
        <w:rPr>
          <w:rFonts w:eastAsia="Trebuchet MS" w:cs="Trebuchet MS" w:ascii="Trebuchet MS" w:hAnsi="Trebuchet MS"/>
          <w:b/>
          <w:spacing w:val="-2"/>
          <w:sz w:val="18"/>
          <w:szCs w:val="18"/>
          <w:lang w:val="es-BO"/>
        </w:rPr>
        <w:t xml:space="preserve">         </w:t>
      </w:r>
      <w:r>
        <w:rPr>
          <w:rFonts w:cs="Arial" w:ascii="Trebuchet MS" w:hAnsi="Trebuchet MS"/>
          <w:b/>
          <w:spacing w:val="-2"/>
          <w:sz w:val="18"/>
          <w:szCs w:val="18"/>
          <w:lang w:val="es-BO"/>
        </w:rPr>
        <w:t>RESOLUCIÓN ADMINISTRATIVA /SPVS/IS/No. 577 de fecha 18 de Julio de 2007</w:t>
      </w:r>
    </w:p>
    <w:p>
      <w:pPr>
        <w:pStyle w:val="Normal"/>
        <w:ind w:left="640" w:firstLine="80"/>
        <w:rPr>
          <w:rFonts w:ascii="Trebuchet MS" w:hAnsi="Trebuchet MS" w:cs="Arial"/>
          <w:b/>
          <w:b/>
          <w:spacing w:val="-2"/>
          <w:sz w:val="18"/>
          <w:szCs w:val="18"/>
          <w:lang w:val="es-BO"/>
        </w:rPr>
      </w:pPr>
      <w:r>
        <w:rPr>
          <w:rFonts w:cs="Arial" w:ascii="Trebuchet MS" w:hAnsi="Trebuchet MS"/>
          <w:b/>
          <w:spacing w:val="-2"/>
          <w:sz w:val="18"/>
          <w:szCs w:val="18"/>
          <w:lang w:val="es-BO"/>
        </w:rPr>
      </w:r>
    </w:p>
    <w:p>
      <w:pPr>
        <w:pStyle w:val="Normal"/>
        <w:ind w:left="640" w:firstLine="80"/>
        <w:rPr>
          <w:rFonts w:ascii="Trebuchet MS" w:hAnsi="Trebuchet MS" w:cs="Arial"/>
          <w:b/>
          <w:b/>
          <w:spacing w:val="-2"/>
          <w:sz w:val="18"/>
          <w:szCs w:val="18"/>
          <w:lang w:val="es-BO"/>
        </w:rPr>
      </w:pPr>
      <w:r>
        <w:rPr>
          <w:rFonts w:cs="Arial" w:ascii="Trebuchet MS" w:hAnsi="Trebuchet MS"/>
          <w:b/>
          <w:spacing w:val="-2"/>
          <w:sz w:val="18"/>
          <w:szCs w:val="18"/>
          <w:lang w:val="es-BO"/>
        </w:rPr>
      </w:r>
    </w:p>
    <w:p>
      <w:pPr>
        <w:pStyle w:val="Heading2"/>
        <w:rPr>
          <w:rFonts w:ascii="Trebuchet MS" w:hAnsi="Trebuchet MS" w:cs="Trebuchet MS"/>
          <w:sz w:val="18"/>
          <w:szCs w:val="18"/>
          <w:u w:val="none"/>
        </w:rPr>
      </w:pPr>
      <w:r>
        <w:rPr>
          <w:rFonts w:cs="Trebuchet MS" w:ascii="Trebuchet MS" w:hAnsi="Trebuchet MS"/>
          <w:sz w:val="18"/>
          <w:szCs w:val="18"/>
          <w:u w:val="none"/>
        </w:rPr>
        <w:t>CLAUSULA DE FALLAS Y/O ERRORES DE INVENTARIOS</w:t>
      </w:r>
    </w:p>
    <w:p>
      <w:pPr>
        <w:pStyle w:val="Normal"/>
        <w:ind w:left="708" w:hanging="0"/>
        <w:jc w:val="center"/>
        <w:rPr>
          <w:rFonts w:ascii="Trebuchet MS" w:hAnsi="Trebuchet MS" w:cs="Arial"/>
          <w:b/>
          <w:b/>
          <w:spacing w:val="-2"/>
          <w:sz w:val="18"/>
          <w:szCs w:val="18"/>
          <w:lang w:val="es-BO"/>
        </w:rPr>
      </w:pPr>
      <w:r>
        <w:rPr>
          <w:rFonts w:cs="Arial" w:ascii="Trebuchet MS" w:hAnsi="Trebuchet MS"/>
          <w:b/>
          <w:spacing w:val="-2"/>
          <w:sz w:val="18"/>
          <w:szCs w:val="18"/>
          <w:lang w:val="es-BO"/>
        </w:rPr>
        <w:t>Código Asignado 115-910101-2007 06 001-2164</w:t>
      </w:r>
    </w:p>
    <w:p>
      <w:pPr>
        <w:pStyle w:val="Normal"/>
        <w:rPr>
          <w:rFonts w:ascii="Trebuchet MS" w:hAnsi="Trebuchet MS"/>
          <w:b/>
          <w:b/>
          <w:spacing w:val="-2"/>
          <w:sz w:val="18"/>
          <w:szCs w:val="18"/>
          <w:lang w:val="es-BO"/>
        </w:rPr>
      </w:pPr>
      <w:r>
        <w:rPr>
          <w:rFonts w:eastAsia="Trebuchet MS" w:cs="Trebuchet MS" w:ascii="Trebuchet MS" w:hAnsi="Trebuchet MS"/>
          <w:b/>
          <w:spacing w:val="-2"/>
          <w:sz w:val="18"/>
          <w:szCs w:val="18"/>
          <w:lang w:val="es-BO"/>
        </w:rPr>
        <w:t xml:space="preserve">                  </w:t>
      </w:r>
      <w:r>
        <w:rPr>
          <w:rFonts w:cs="Arial" w:ascii="Trebuchet MS" w:hAnsi="Trebuchet MS"/>
          <w:b/>
          <w:spacing w:val="-2"/>
          <w:sz w:val="18"/>
          <w:szCs w:val="18"/>
          <w:lang w:val="es-BO"/>
        </w:rPr>
        <w:t>RESOLUCIÓN ADMINISTRATIVA /SPVS/IS/No. 577-2007 de fecha 18 de julio de 2007</w:t>
      </w:r>
    </w:p>
    <w:p>
      <w:pPr>
        <w:pStyle w:val="Normal"/>
        <w:rPr>
          <w:rFonts w:ascii="Arial" w:hAnsi="Arial" w:cs="Arial"/>
          <w:b/>
          <w:b/>
          <w:spacing w:val="-2"/>
          <w:sz w:val="18"/>
          <w:szCs w:val="18"/>
          <w:lang w:val="es-ES"/>
        </w:rPr>
      </w:pPr>
      <w:r>
        <w:rPr>
          <w:rFonts w:cs="Arial" w:ascii="Arial" w:hAnsi="Arial"/>
          <w:b/>
          <w:spacing w:val="-2"/>
          <w:sz w:val="18"/>
          <w:szCs w:val="18"/>
          <w:lang w:val="es-ES"/>
        </w:rPr>
      </w:r>
    </w:p>
    <w:p>
      <w:pPr>
        <w:pStyle w:val="Normal"/>
        <w:rPr>
          <w:rFonts w:ascii="Arial" w:hAnsi="Arial" w:cs="Arial"/>
          <w:sz w:val="18"/>
          <w:szCs w:val="18"/>
          <w:lang w:val="es-ES"/>
        </w:rPr>
      </w:pPr>
      <w:r>
        <w:rPr>
          <w:rFonts w:cs="Arial" w:ascii="Arial" w:hAnsi="Arial"/>
          <w:sz w:val="18"/>
          <w:szCs w:val="18"/>
          <w:lang w:val="es-ES"/>
        </w:rPr>
      </w:r>
    </w:p>
    <w:p>
      <w:pPr>
        <w:pStyle w:val="Textoindependiente2"/>
        <w:rPr>
          <w:rFonts w:ascii="Trebuchet MS" w:hAnsi="Trebuchet MS" w:cs="Trebuchet MS"/>
          <w:sz w:val="18"/>
          <w:szCs w:val="18"/>
        </w:rPr>
      </w:pPr>
      <w:r>
        <w:rPr>
          <w:rFonts w:cs="Trebuchet MS" w:ascii="Trebuchet MS" w:hAnsi="Trebuchet MS"/>
          <w:sz w:val="18"/>
          <w:szCs w:val="18"/>
        </w:rPr>
        <w:t>Mediante la presente cláusula que forma parte integrante e indivisible de la presente póliza, se acuerda y establece que las garantías de la misma se extienden a cubrir las fallas y/o errores de inventario, por los cuales no se haya declarado la totalidad de los bienes materia del seguro, hasta la suma establecida en las Condiciones Particulares.</w:t>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Textoindependiente2"/>
        <w:rPr>
          <w:rFonts w:ascii="Trebuchet MS" w:hAnsi="Trebuchet MS" w:cs="Trebuchet MS"/>
          <w:sz w:val="18"/>
          <w:szCs w:val="18"/>
        </w:rPr>
      </w:pPr>
      <w:r>
        <w:rPr>
          <w:rFonts w:cs="Trebuchet MS" w:ascii="Trebuchet MS" w:hAnsi="Trebuchet MS"/>
          <w:sz w:val="18"/>
          <w:szCs w:val="18"/>
        </w:rPr>
        <w:t>Una vez determinada la falla, el Asegurado deberá demostrar documentariamente la existencia de estos bienes antes de la ocurrencia del siniestro, teniendo la compañía derecho al cobro de la prima correspondiente desde el momento de inicio de vigencia del presente seguro, o desde la fecha de adquisición por parte del asegurado de dicho bien.</w:t>
      </w:r>
    </w:p>
    <w:p>
      <w:pPr>
        <w:pStyle w:val="Textoindependiente2"/>
        <w:rPr>
          <w:rFonts w:ascii="Trebuchet MS" w:hAnsi="Trebuchet MS" w:cs="Trebuchet MS"/>
          <w:sz w:val="18"/>
          <w:szCs w:val="18"/>
        </w:rPr>
      </w:pPr>
      <w:r>
        <w:rPr>
          <w:rFonts w:cs="Trebuchet MS" w:ascii="Trebuchet MS" w:hAnsi="Trebuchet MS"/>
          <w:sz w:val="18"/>
          <w:szCs w:val="18"/>
        </w:rPr>
      </w:r>
    </w:p>
    <w:p>
      <w:pPr>
        <w:pStyle w:val="Textoindependiente2"/>
        <w:rPr>
          <w:rFonts w:ascii="Trebuchet MS" w:hAnsi="Trebuchet MS" w:cs="Trebuchet MS"/>
          <w:sz w:val="18"/>
          <w:szCs w:val="18"/>
        </w:rPr>
      </w:pPr>
      <w:r>
        <w:rPr>
          <w:rFonts w:cs="Trebuchet MS" w:ascii="Trebuchet MS" w:hAnsi="Trebuchet MS"/>
          <w:sz w:val="18"/>
          <w:szCs w:val="18"/>
        </w:rPr>
        <w:t>Todos los demás términos y condiciones permanecen sin modificación.</w:t>
      </w:r>
    </w:p>
    <w:p>
      <w:pPr>
        <w:pStyle w:val="Normal"/>
        <w:rPr>
          <w:rFonts w:ascii="Arial" w:hAnsi="Arial" w:cs="Arial"/>
          <w:sz w:val="18"/>
          <w:szCs w:val="18"/>
          <w:lang w:val="es-ES"/>
        </w:rPr>
      </w:pPr>
      <w:r>
        <w:rPr>
          <w:rFonts w:cs="Arial" w:ascii="Arial" w:hAnsi="Arial"/>
          <w:sz w:val="18"/>
          <w:szCs w:val="18"/>
          <w:lang w:val="es-ES"/>
        </w:rPr>
      </w:r>
    </w:p>
    <w:p>
      <w:pPr>
        <w:pStyle w:val="Normal"/>
        <w:rPr>
          <w:rFonts w:ascii="Arial" w:hAnsi="Arial" w:cs="Arial"/>
          <w:sz w:val="18"/>
          <w:szCs w:val="18"/>
          <w:lang w:val="es-ES"/>
        </w:rPr>
      </w:pPr>
      <w:r>
        <w:rPr>
          <w:rFonts w:cs="Arial" w:ascii="Arial" w:hAnsi="Arial"/>
          <w:sz w:val="18"/>
          <w:szCs w:val="18"/>
          <w:lang w:val="es-ES"/>
        </w:rPr>
      </w:r>
    </w:p>
    <w:p>
      <w:pPr>
        <w:pStyle w:val="Normal"/>
        <w:rPr>
          <w:sz w:val="18"/>
          <w:szCs w:val="18"/>
          <w:lang w:val="es-ES"/>
        </w:rPr>
      </w:pPr>
      <w:r>
        <w:rPr>
          <w:sz w:val="18"/>
          <w:szCs w:val="18"/>
          <w:lang w:val="es-ES"/>
        </w:rPr>
      </w:r>
    </w:p>
    <w:p>
      <w:pPr>
        <w:pStyle w:val="Normal"/>
        <w:jc w:val="center"/>
        <w:rPr>
          <w:rFonts w:ascii="Trebuchet MS" w:hAnsi="Trebuchet MS" w:cs="Trebuchet MS"/>
          <w:b/>
          <w:b/>
          <w:sz w:val="18"/>
          <w:szCs w:val="18"/>
          <w:lang w:val="es-ES"/>
        </w:rPr>
      </w:pPr>
      <w:r>
        <w:rPr>
          <w:rFonts w:cs="Trebuchet MS" w:ascii="Trebuchet MS" w:hAnsi="Trebuchet MS"/>
          <w:b/>
          <w:sz w:val="18"/>
          <w:szCs w:val="18"/>
          <w:lang w:val="es-ES"/>
        </w:rPr>
        <w:t>“</w:t>
      </w:r>
      <w:r>
        <w:rPr>
          <w:rFonts w:cs="Trebuchet MS" w:ascii="Trebuchet MS" w:hAnsi="Trebuchet MS"/>
          <w:b/>
          <w:sz w:val="18"/>
          <w:szCs w:val="18"/>
          <w:lang w:val="es-ES"/>
        </w:rPr>
        <w:t>NACIONAL SEGUROS PATRIMONIALES Y FIANZAS S.A.”</w:t>
      </w:r>
    </w:p>
    <w:p>
      <w:pPr>
        <w:pStyle w:val="Normal"/>
        <w:rPr>
          <w:rFonts w:ascii="Trebuchet MS" w:hAnsi="Trebuchet MS" w:cs="Trebuchet MS"/>
          <w:b/>
          <w:b/>
          <w:sz w:val="18"/>
          <w:szCs w:val="18"/>
          <w:lang w:val="es-ES"/>
        </w:rPr>
      </w:pPr>
      <w:r>
        <w:rPr>
          <w:rFonts w:cs="Trebuchet MS" w:ascii="Trebuchet MS" w:hAnsi="Trebuchet MS"/>
          <w:b/>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rPr>
          <w:rFonts w:ascii="Trebuchet MS" w:hAnsi="Trebuchet MS" w:cs="Trebuchet MS"/>
          <w:sz w:val="18"/>
          <w:szCs w:val="18"/>
          <w:lang w:val="es-ES"/>
        </w:rPr>
      </w:pPr>
      <w:r>
        <w:rPr>
          <w:rFonts w:cs="Trebuchet MS" w:ascii="Trebuchet MS" w:hAnsi="Trebuchet MS"/>
          <w:sz w:val="18"/>
          <w:szCs w:val="18"/>
          <w:lang w:val="es-ES"/>
        </w:rPr>
      </w:r>
    </w:p>
    <w:p>
      <w:pPr>
        <w:pStyle w:val="Normal"/>
        <w:tabs>
          <w:tab w:val="clear" w:pos="708"/>
          <w:tab w:val="left" w:pos="3165" w:leader="none"/>
        </w:tabs>
        <w:rPr>
          <w:rFonts w:ascii="Trebuchet MS" w:hAnsi="Trebuchet MS" w:cs="Trebuchet MS"/>
          <w:sz w:val="18"/>
          <w:szCs w:val="18"/>
          <w:lang w:val="es-ES"/>
        </w:rPr>
      </w:pPr>
      <w:r>
        <w:rPr>
          <w:rFonts w:cs="Trebuchet MS" w:ascii="Trebuchet MS" w:hAnsi="Trebuchet MS"/>
          <w:sz w:val="18"/>
          <w:szCs w:val="18"/>
          <w:lang w:val="es-ES"/>
        </w:rPr>
        <w:tab/>
      </w:r>
    </w:p>
    <w:sectPr>
      <w:type w:val="nextPage"/>
      <w:pgSz w:w="12240" w:h="15840"/>
      <w:pgMar w:left="1701" w:right="1701" w:gutter="0" w:header="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Liberation Sans">
    <w:altName w:val="Arial"/>
    <w:charset w:val="01"/>
    <w:family w:val="swiss"/>
    <w:pitch w:val="variable"/>
  </w:font>
  <w:font w:name="Arial (W1)">
    <w:charset w:val="00"/>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en-US" w:bidi="ar-SA" w:eastAsia="zh-CN"/>
    </w:rPr>
  </w:style>
  <w:style w:type="paragraph" w:styleId="Heading1">
    <w:name w:val="Heading 1"/>
    <w:basedOn w:val="Normal"/>
    <w:next w:val="Normal"/>
    <w:qFormat/>
    <w:pPr>
      <w:keepNext w:val="true"/>
      <w:numPr>
        <w:ilvl w:val="0"/>
        <w:numId w:val="1"/>
      </w:numPr>
      <w:outlineLvl w:val="0"/>
    </w:pPr>
    <w:rPr>
      <w:rFonts w:ascii="Times New Roman" w:hAnsi="Times New Roman" w:cs="Times New Roman"/>
      <w:b/>
      <w:u w:val="single"/>
      <w:lang w:val="es-ES"/>
    </w:rPr>
  </w:style>
  <w:style w:type="paragraph" w:styleId="Heading2">
    <w:name w:val="Heading 2"/>
    <w:basedOn w:val="Normal"/>
    <w:next w:val="Normal"/>
    <w:qFormat/>
    <w:pPr>
      <w:keepNext w:val="true"/>
      <w:numPr>
        <w:ilvl w:val="1"/>
        <w:numId w:val="1"/>
      </w:numPr>
      <w:jc w:val="center"/>
      <w:outlineLvl w:val="1"/>
    </w:pPr>
    <w:rPr>
      <w:rFonts w:ascii="Times New Roman" w:hAnsi="Times New Roman" w:cs="Times New Roman"/>
      <w:b/>
      <w:u w:val="single"/>
      <w:lang w:val="es-ES"/>
    </w:rPr>
  </w:style>
  <w:style w:type="paragraph" w:styleId="Heading9">
    <w:name w:val="Heading 9"/>
    <w:basedOn w:val="Normal"/>
    <w:next w:val="Normal"/>
    <w:qFormat/>
    <w:pPr>
      <w:keepNext w:val="true"/>
      <w:numPr>
        <w:ilvl w:val="8"/>
        <w:numId w:val="1"/>
      </w:numPr>
      <w:jc w:val="center"/>
      <w:outlineLvl w:val="8"/>
    </w:pPr>
    <w:rPr>
      <w:rFonts w:ascii="Arial" w:hAnsi="Arial" w:cs="Arial"/>
      <w:b/>
      <w:sz w:val="16"/>
      <w:lang w:val="es-ES"/>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Textoindependiente2">
    <w:name w:val="Texto independiente 2"/>
    <w:basedOn w:val="Normal"/>
    <w:qFormat/>
    <w:pPr>
      <w:jc w:val="both"/>
    </w:pPr>
    <w:rPr>
      <w:rFonts w:ascii="Times New Roman" w:hAnsi="Times New Roman" w:cs="Times New Roman"/>
      <w:lang w:val="es-ES"/>
    </w:rPr>
  </w:style>
  <w:style w:type="paragraph" w:styleId="TITULO">
    <w:name w:val="TITULO"/>
    <w:basedOn w:val="Normal"/>
    <w:qFormat/>
    <w:pPr>
      <w:widowControl/>
    </w:pPr>
    <w:rPr>
      <w:rFonts w:ascii="Arial (W1)" w:hAnsi="Arial (W1)" w:cs="Arial (W1)"/>
      <w:b/>
      <w:i/>
      <w:sz w:val="20"/>
      <w:u w:val="single"/>
      <w:lang w:val="es-ES_tradn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2007-03-25T21:03:00Z</dcterms:created>
  <dc:creator>deneira</dc:creator>
  <dc:description/>
  <cp:keywords/>
  <dc:language>en-US</dc:language>
  <cp:lastModifiedBy>Jaime Alejandro Beltran</cp:lastModifiedBy>
  <dcterms:modified xsi:type="dcterms:W3CDTF">2015-06-03T09:43:00Z</dcterms:modified>
  <cp:revision>5</cp:revision>
  <dc:subject/>
  <dc:title>“Latina”</dc:title>
</cp:coreProperties>
</file>