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CLAUSULA DE FALLOS EN EL SUMINISTRO DE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u w:val="single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ENERGIA ELECTRICA DE LA RED PÚBLICA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06 001-2150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i/>
          <w:i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i/>
          <w:spacing w:val="-2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i/>
          <w:i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i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Queda entendido y convenido que, en adición a los términos, exclusiones, cláusulas y condiciones contenidos en la póliza o en ella endosados y sujeto al pago previo de la prima extra por parte del Asegurado, este seguro se extiende a cubrir también daños por deterioro o putrefacción que puedan ocurrir como resultado de fallos en el suministro de energía eléctrica de la red pública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Es condición previa que: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el abastecimiento de energía eléctrica se efectúe a través de una red de interconexión;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el punto de acometida (o sea el punto a partir del cual el abastecimiento de energía eléctrica corre a cargo del Asegurado) sea especificado en la póliza.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El fallo del abastecimiento de energía eléctrica de la red pública dure, por lo menos, seis horas ininterrumpidas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Si al abastecimiento de energía eléctrica de la red pública se efectúa a través de una acometida, deberá disponerse como reserva de un grupo electrógeno de emergencia que pueda utilizarse en cualquier momento y deberá constar en la relación de maquinaria; dicho grupo de emergencia deberá tener la capacidad suficiente para garantizar la refrigeración constante del depósito frigorífico lleno.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Sin embargo, sin tener en cuenta las causas concurrentes, la Compañía no pagará ninguna indemnización si el deterioro o la putrefacción de bienes refrigerados fuera consecuencia de: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desconexiones del suministro de energía eléctrica pública planeadas de antemano.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Fallos de energía pública por causa de escasez de combustibles/ agua en los puntos generadores de energía eléctrica.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;Times New Roman" w:hAnsi="Times New Roman;Times New Roman" w:cs="Times New Roman;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2007-03-25T19:06:00Z</dcterms:created>
  <dc:creator>deneira</dc:creator>
  <dc:description/>
  <dc:language>en-US</dc:language>
  <cp:lastModifiedBy>Franz Brian Muñoz Nery</cp:lastModifiedBy>
  <cp:lastPrinted>2017-05-16T18:37:00Z</cp:lastPrinted>
  <dcterms:modified xsi:type="dcterms:W3CDTF">2017-05-16T18:37:00Z</dcterms:modified>
  <cp:revision>7</cp:revision>
  <dc:subject/>
  <dc:title>“Latina”</dc:title>
</cp:coreProperties>
</file>